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814" w:rsidRPr="00B54288" w:rsidRDefault="00547814" w:rsidP="00547814">
      <w:pPr>
        <w:rPr>
          <w:rFonts w:ascii="Arial" w:hAnsi="Arial" w:cs="Arial"/>
        </w:rPr>
      </w:pPr>
    </w:p>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547814" w:rsidRPr="00B54288" w:rsidTr="00876C79">
        <w:trPr>
          <w:tblHeader/>
        </w:trPr>
        <w:tc>
          <w:tcPr>
            <w:tcW w:w="10080" w:type="dxa"/>
          </w:tcPr>
          <w:p w:rsidR="00547814" w:rsidRPr="00B54288" w:rsidRDefault="00547814" w:rsidP="00876C79">
            <w:pPr>
              <w:pStyle w:val="Title"/>
              <w:rPr>
                <w:rFonts w:ascii="Arial" w:hAnsi="Arial" w:cs="Arial"/>
                <w:b/>
                <w:color w:val="7B7B7B" w:themeColor="accent3" w:themeShade="BF"/>
              </w:rPr>
            </w:pPr>
            <w:r w:rsidRPr="00B54288">
              <w:rPr>
                <w:rFonts w:ascii="Arial" w:hAnsi="Arial" w:cs="Arial"/>
                <w:noProof/>
                <w:lang w:val="en-GB" w:eastAsia="en-GB"/>
              </w:rPr>
              <w:drawing>
                <wp:inline distT="0" distB="0" distL="0" distR="0" wp14:anchorId="7DB34A67" wp14:editId="623A4A50">
                  <wp:extent cx="1257300" cy="1615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ff-logo-round.png"/>
                          <pic:cNvPicPr/>
                        </pic:nvPicPr>
                        <pic:blipFill rotWithShape="1">
                          <a:blip r:embed="rId8">
                            <a:extLst>
                              <a:ext uri="{28A0092B-C50C-407E-A947-70E740481C1C}">
                                <a14:useLocalDpi xmlns:a14="http://schemas.microsoft.com/office/drawing/2010/main" val="0"/>
                              </a:ext>
                            </a:extLst>
                          </a:blip>
                          <a:srcRect l="15104" t="4141" r="13972" b="4746"/>
                          <a:stretch/>
                        </pic:blipFill>
                        <pic:spPr bwMode="auto">
                          <a:xfrm>
                            <a:off x="0" y="0"/>
                            <a:ext cx="1268025" cy="1628996"/>
                          </a:xfrm>
                          <a:prstGeom prst="rect">
                            <a:avLst/>
                          </a:prstGeom>
                          <a:ln>
                            <a:noFill/>
                          </a:ln>
                          <a:extLst>
                            <a:ext uri="{53640926-AAD7-44D8-BBD7-CCE9431645EC}">
                              <a14:shadowObscured xmlns:a14="http://schemas.microsoft.com/office/drawing/2010/main"/>
                            </a:ext>
                          </a:extLst>
                        </pic:spPr>
                      </pic:pic>
                    </a:graphicData>
                  </a:graphic>
                </wp:inline>
              </w:drawing>
            </w:r>
          </w:p>
          <w:p w:rsidR="00C74848" w:rsidRDefault="00547814" w:rsidP="00C74848">
            <w:pPr>
              <w:pStyle w:val="Title"/>
              <w:rPr>
                <w:rFonts w:ascii="Arial" w:hAnsi="Arial" w:cs="Arial"/>
                <w:b/>
                <w:color w:val="7B7B7B" w:themeColor="accent3" w:themeShade="BF"/>
                <w:sz w:val="36"/>
                <w:szCs w:val="36"/>
              </w:rPr>
            </w:pPr>
            <w:r>
              <w:rPr>
                <w:rFonts w:ascii="Arial" w:hAnsi="Arial" w:cs="Arial"/>
                <w:b/>
                <w:color w:val="7B7B7B" w:themeColor="accent3" w:themeShade="BF"/>
                <w:sz w:val="36"/>
                <w:szCs w:val="36"/>
              </w:rPr>
              <w:t>Meeting Minutes and Actions</w:t>
            </w:r>
          </w:p>
          <w:p w:rsidR="00C74848" w:rsidRDefault="00C74848" w:rsidP="00C74848">
            <w:pPr>
              <w:pStyle w:val="Title"/>
              <w:rPr>
                <w:rFonts w:ascii="Arial" w:hAnsi="Arial" w:cs="Arial"/>
                <w:b/>
                <w:color w:val="7B7B7B" w:themeColor="accent3" w:themeShade="BF"/>
                <w:sz w:val="36"/>
                <w:szCs w:val="36"/>
              </w:rPr>
            </w:pPr>
          </w:p>
          <w:p w:rsidR="00C74848" w:rsidRPr="00BA3619" w:rsidRDefault="00C74848" w:rsidP="00C74848">
            <w:pPr>
              <w:pStyle w:val="Title"/>
              <w:jc w:val="left"/>
              <w:rPr>
                <w:rFonts w:asciiTheme="minorHAnsi" w:hAnsiTheme="minorHAnsi" w:cstheme="minorHAnsi"/>
                <w:b/>
                <w:color w:val="000000" w:themeColor="text1"/>
                <w:sz w:val="24"/>
                <w:szCs w:val="24"/>
              </w:rPr>
            </w:pPr>
            <w:r w:rsidRPr="00BA3619">
              <w:rPr>
                <w:rFonts w:asciiTheme="minorHAnsi" w:hAnsiTheme="minorHAnsi" w:cstheme="minorHAnsi"/>
                <w:b/>
                <w:color w:val="000000" w:themeColor="text1"/>
                <w:sz w:val="24"/>
                <w:szCs w:val="24"/>
              </w:rPr>
              <w:t xml:space="preserve">Attendees: Alan Green, Leon Silver, Christine Hall, </w:t>
            </w:r>
            <w:r w:rsidR="00BA3619" w:rsidRPr="00BA3619">
              <w:rPr>
                <w:rFonts w:asciiTheme="minorHAnsi" w:hAnsiTheme="minorHAnsi" w:cstheme="minorHAnsi"/>
                <w:b/>
                <w:color w:val="000000" w:themeColor="text1"/>
                <w:sz w:val="24"/>
                <w:szCs w:val="24"/>
              </w:rPr>
              <w:t>Rowena Loverance, Selma Piro, Ingrid Cruickshank, Mohammad Rahman, Jenny Hadgraft</w:t>
            </w:r>
          </w:p>
          <w:p w:rsidR="00BA3619" w:rsidRPr="00BA3619" w:rsidRDefault="00BA3619" w:rsidP="00BA3619">
            <w:pPr>
              <w:rPr>
                <w:b/>
                <w:sz w:val="24"/>
                <w:szCs w:val="24"/>
              </w:rPr>
            </w:pPr>
            <w:r w:rsidRPr="00BA3619">
              <w:rPr>
                <w:b/>
                <w:color w:val="000000" w:themeColor="text1"/>
                <w:sz w:val="24"/>
                <w:szCs w:val="24"/>
              </w:rPr>
              <w:t xml:space="preserve">Apologies: Jan McHarry, Daniel Range, Elspeth Paisley, Fiona Stewart-Darling </w:t>
            </w:r>
          </w:p>
        </w:tc>
      </w:tr>
    </w:tbl>
    <w:tbl>
      <w:tblPr>
        <w:tblStyle w:val="FormTable"/>
        <w:tblW w:w="5000" w:type="pct"/>
        <w:tblLook w:val="04A0" w:firstRow="1" w:lastRow="0" w:firstColumn="1" w:lastColumn="0" w:noHBand="0" w:noVBand="1"/>
        <w:tblDescription w:val="Top table contains the title. Bottom table has meeting location, date and time"/>
      </w:tblPr>
      <w:tblGrid>
        <w:gridCol w:w="1712"/>
        <w:gridCol w:w="8368"/>
      </w:tblGrid>
      <w:tr w:rsidR="00547814" w:rsidRPr="00B54288" w:rsidTr="00876C79">
        <w:trPr>
          <w:cnfStyle w:val="100000000000" w:firstRow="1" w:lastRow="0" w:firstColumn="0" w:lastColumn="0" w:oddVBand="0" w:evenVBand="0" w:oddHBand="0" w:evenHBand="0" w:firstRowFirstColumn="0" w:firstRowLastColumn="0" w:lastRowFirstColumn="0" w:lastRowLastColumn="0"/>
        </w:trPr>
        <w:tc>
          <w:tcPr>
            <w:tcW w:w="1712" w:type="dxa"/>
            <w:tcMar>
              <w:top w:w="504" w:type="dxa"/>
            </w:tcMar>
          </w:tcPr>
          <w:p w:rsidR="00547814" w:rsidRPr="00B54288" w:rsidRDefault="00547814" w:rsidP="00876C79">
            <w:pPr>
              <w:rPr>
                <w:rFonts w:ascii="Arial" w:hAnsi="Arial" w:cs="Arial"/>
                <w:b/>
                <w:color w:val="000000" w:themeColor="text1"/>
              </w:rPr>
            </w:pPr>
            <w:r w:rsidRPr="00B54288">
              <w:rPr>
                <w:rFonts w:ascii="Arial" w:hAnsi="Arial" w:cs="Arial"/>
                <w:b/>
                <w:color w:val="000000" w:themeColor="text1"/>
              </w:rPr>
              <w:t>Location:</w:t>
            </w:r>
          </w:p>
        </w:tc>
        <w:tc>
          <w:tcPr>
            <w:tcW w:w="8368" w:type="dxa"/>
            <w:tcMar>
              <w:top w:w="504" w:type="dxa"/>
            </w:tcMar>
          </w:tcPr>
          <w:p w:rsidR="00547814" w:rsidRPr="00B54288" w:rsidRDefault="00547814" w:rsidP="00876C79">
            <w:pPr>
              <w:rPr>
                <w:rFonts w:ascii="Arial" w:hAnsi="Arial" w:cs="Arial"/>
                <w:color w:val="000000" w:themeColor="text1"/>
              </w:rPr>
            </w:pPr>
            <w:r>
              <w:rPr>
                <w:rFonts w:ascii="Arial" w:hAnsi="Arial" w:cs="Arial"/>
                <w:color w:val="000000" w:themeColor="text1"/>
              </w:rPr>
              <w:t>Shadwell Fire Station, 290 Cable Street, E1 0BX</w:t>
            </w:r>
          </w:p>
        </w:tc>
      </w:tr>
      <w:tr w:rsidR="00547814" w:rsidRPr="00B54288" w:rsidTr="00876C79">
        <w:tc>
          <w:tcPr>
            <w:tcW w:w="1712" w:type="dxa"/>
          </w:tcPr>
          <w:p w:rsidR="00547814" w:rsidRPr="00B54288" w:rsidRDefault="00547814" w:rsidP="00876C79">
            <w:pPr>
              <w:rPr>
                <w:rFonts w:ascii="Arial" w:hAnsi="Arial" w:cs="Arial"/>
                <w:b/>
                <w:color w:val="000000" w:themeColor="text1"/>
              </w:rPr>
            </w:pPr>
            <w:r w:rsidRPr="00B54288">
              <w:rPr>
                <w:rFonts w:ascii="Arial" w:hAnsi="Arial" w:cs="Arial"/>
                <w:b/>
                <w:color w:val="000000" w:themeColor="text1"/>
              </w:rPr>
              <w:t>Date:</w:t>
            </w:r>
          </w:p>
        </w:tc>
        <w:tc>
          <w:tcPr>
            <w:tcW w:w="8368" w:type="dxa"/>
          </w:tcPr>
          <w:p w:rsidR="00547814" w:rsidRPr="00B54288" w:rsidRDefault="00547814" w:rsidP="00876C79">
            <w:pPr>
              <w:rPr>
                <w:rFonts w:ascii="Arial" w:hAnsi="Arial" w:cs="Arial"/>
                <w:color w:val="000000" w:themeColor="text1"/>
              </w:rPr>
            </w:pPr>
            <w:r>
              <w:rPr>
                <w:rFonts w:ascii="Arial" w:hAnsi="Arial" w:cs="Arial"/>
                <w:color w:val="000000" w:themeColor="text1"/>
              </w:rPr>
              <w:t>Monday 3 December</w:t>
            </w:r>
          </w:p>
        </w:tc>
      </w:tr>
      <w:tr w:rsidR="00547814" w:rsidRPr="00B54288" w:rsidTr="00876C79">
        <w:tc>
          <w:tcPr>
            <w:tcW w:w="1712" w:type="dxa"/>
          </w:tcPr>
          <w:p w:rsidR="00547814" w:rsidRPr="00B54288" w:rsidRDefault="00C74848" w:rsidP="00876C79">
            <w:pPr>
              <w:rPr>
                <w:rFonts w:ascii="Arial" w:hAnsi="Arial" w:cs="Arial"/>
                <w:b/>
                <w:color w:val="000000" w:themeColor="text1"/>
              </w:rPr>
            </w:pPr>
            <w:r>
              <w:rPr>
                <w:rFonts w:ascii="Arial" w:hAnsi="Arial" w:cs="Arial"/>
                <w:b/>
                <w:color w:val="000000" w:themeColor="text1"/>
              </w:rPr>
              <w:t>Time</w:t>
            </w:r>
          </w:p>
        </w:tc>
        <w:tc>
          <w:tcPr>
            <w:tcW w:w="8368" w:type="dxa"/>
          </w:tcPr>
          <w:p w:rsidR="00C74848" w:rsidRDefault="00547814" w:rsidP="00876C79">
            <w:pPr>
              <w:rPr>
                <w:rFonts w:ascii="Arial" w:hAnsi="Arial" w:cs="Arial"/>
                <w:color w:val="000000" w:themeColor="text1"/>
              </w:rPr>
            </w:pPr>
            <w:r w:rsidRPr="00B54288">
              <w:rPr>
                <w:rFonts w:ascii="Arial" w:hAnsi="Arial" w:cs="Arial"/>
                <w:color w:val="000000" w:themeColor="text1"/>
              </w:rPr>
              <w:t>6pm – 8pm</w:t>
            </w:r>
          </w:p>
          <w:p w:rsidR="00C74848" w:rsidRPr="00B54288" w:rsidRDefault="00C74848" w:rsidP="00876C79">
            <w:pPr>
              <w:rPr>
                <w:rFonts w:ascii="Arial" w:hAnsi="Arial" w:cs="Arial"/>
                <w:color w:val="000000" w:themeColor="text1"/>
              </w:rPr>
            </w:pPr>
          </w:p>
        </w:tc>
      </w:tr>
    </w:tbl>
    <w:p w:rsidR="00547814" w:rsidRDefault="00547814" w:rsidP="00547814">
      <w:pPr>
        <w:pStyle w:val="Heading2"/>
        <w:rPr>
          <w:rFonts w:ascii="Arial" w:hAnsi="Arial" w:cs="Arial"/>
          <w:b/>
          <w:color w:val="000000" w:themeColor="text1"/>
        </w:rPr>
      </w:pPr>
      <w:r>
        <w:rPr>
          <w:rFonts w:ascii="Arial" w:hAnsi="Arial" w:cs="Arial"/>
          <w:b/>
          <w:color w:val="000000" w:themeColor="text1"/>
        </w:rPr>
        <w:t>Hate crime analysis and regular report – Ingrid Cruickshank, MET Police</w:t>
      </w:r>
    </w:p>
    <w:p w:rsidR="00547814" w:rsidRDefault="00547814" w:rsidP="00547814">
      <w:pPr>
        <w:pStyle w:val="BodyText"/>
      </w:pPr>
      <w:r>
        <w:t>DCI Cruickshank provided the latest hate crime figures update. The details are as follows:</w:t>
      </w:r>
    </w:p>
    <w:p w:rsidR="00547814" w:rsidRPr="00E007B1" w:rsidRDefault="00547814" w:rsidP="00547814">
      <w:pPr>
        <w:pStyle w:val="BodyText"/>
        <w:rPr>
          <w:b/>
          <w:u w:val="single"/>
        </w:rPr>
      </w:pPr>
      <w:r w:rsidRPr="00E007B1">
        <w:rPr>
          <w:b/>
          <w:u w:val="single"/>
        </w:rPr>
        <w:t xml:space="preserve">Data over 12 weeks: </w:t>
      </w:r>
    </w:p>
    <w:p w:rsidR="00547814" w:rsidRDefault="00547814" w:rsidP="00E007B1">
      <w:pPr>
        <w:pStyle w:val="BodyText"/>
        <w:spacing w:after="0"/>
      </w:pPr>
      <w:r w:rsidRPr="00E007B1">
        <w:rPr>
          <w:b/>
        </w:rPr>
        <w:t>Faith hate crime:</w:t>
      </w:r>
      <w:r>
        <w:tab/>
      </w:r>
      <w:r>
        <w:tab/>
      </w:r>
      <w:r>
        <w:tab/>
        <w:t>462 across MPS (Metropolitan Police Service)</w:t>
      </w:r>
    </w:p>
    <w:p w:rsidR="00547814" w:rsidRDefault="00547814" w:rsidP="00E007B1">
      <w:pPr>
        <w:pStyle w:val="BodyText"/>
        <w:spacing w:after="0"/>
        <w:ind w:left="3600"/>
      </w:pPr>
      <w:r>
        <w:t>34 in TH (Tower Hamlets)</w:t>
      </w:r>
      <w:r w:rsidR="00460BD5">
        <w:t xml:space="preserve">, with a sanction detection (SD) rate of 5.9% - which </w:t>
      </w:r>
      <w:r w:rsidR="00E007B1">
        <w:t>may</w:t>
      </w:r>
      <w:r w:rsidR="00460BD5">
        <w:t xml:space="preserve"> seem low however the outcome is still pending for some cases. </w:t>
      </w:r>
    </w:p>
    <w:p w:rsidR="00547814" w:rsidRDefault="00547814" w:rsidP="00547814">
      <w:pPr>
        <w:pStyle w:val="BodyText"/>
      </w:pPr>
      <w:r>
        <w:tab/>
      </w:r>
      <w:r>
        <w:tab/>
      </w:r>
      <w:r>
        <w:tab/>
      </w:r>
      <w:r>
        <w:tab/>
      </w:r>
      <w:r>
        <w:tab/>
      </w:r>
    </w:p>
    <w:p w:rsidR="00547814" w:rsidRDefault="00E007B1" w:rsidP="00E007B1">
      <w:pPr>
        <w:pStyle w:val="BodyText"/>
        <w:spacing w:after="0"/>
      </w:pPr>
      <w:r w:rsidRPr="00E007B1">
        <w:rPr>
          <w:b/>
        </w:rPr>
        <w:t>Islama</w:t>
      </w:r>
      <w:r w:rsidR="00547814" w:rsidRPr="00E007B1">
        <w:rPr>
          <w:b/>
        </w:rPr>
        <w:t>phobic hate crime:</w:t>
      </w:r>
      <w:r w:rsidRPr="00E007B1">
        <w:rPr>
          <w:b/>
        </w:rPr>
        <w:tab/>
      </w:r>
      <w:r w:rsidR="00547814">
        <w:t xml:space="preserve"> </w:t>
      </w:r>
      <w:r w:rsidR="00547814">
        <w:tab/>
        <w:t>254 across MPS</w:t>
      </w:r>
    </w:p>
    <w:p w:rsidR="00547814" w:rsidRDefault="00547814" w:rsidP="00E007B1">
      <w:pPr>
        <w:pStyle w:val="BodyText"/>
        <w:spacing w:after="0"/>
        <w:ind w:left="3600"/>
      </w:pPr>
      <w:r>
        <w:t>28 in TH</w:t>
      </w:r>
      <w:r w:rsidR="00460BD5">
        <w:t>, with an SD rate of 7.1%, which Is higher than the rate of 5.9% across MPS</w:t>
      </w:r>
    </w:p>
    <w:p w:rsidR="00460BD5" w:rsidRDefault="00460BD5" w:rsidP="00460BD5">
      <w:pPr>
        <w:pStyle w:val="BodyText"/>
      </w:pPr>
    </w:p>
    <w:p w:rsidR="00460BD5" w:rsidRDefault="00E007B1" w:rsidP="00E007B1">
      <w:pPr>
        <w:pStyle w:val="BodyText"/>
        <w:spacing w:after="0"/>
      </w:pPr>
      <w:r w:rsidRPr="00E007B1">
        <w:rPr>
          <w:b/>
        </w:rPr>
        <w:t>Anti-Semitic</w:t>
      </w:r>
      <w:r w:rsidR="00460BD5" w:rsidRPr="00E007B1">
        <w:rPr>
          <w:b/>
        </w:rPr>
        <w:t xml:space="preserve"> hate crime:</w:t>
      </w:r>
      <w:r w:rsidR="00460BD5" w:rsidRPr="00E007B1">
        <w:rPr>
          <w:b/>
        </w:rPr>
        <w:tab/>
      </w:r>
      <w:r w:rsidR="00460BD5">
        <w:tab/>
        <w:t>142 across MPS</w:t>
      </w:r>
    </w:p>
    <w:p w:rsidR="00460BD5" w:rsidRDefault="00460BD5" w:rsidP="00E007B1">
      <w:pPr>
        <w:pStyle w:val="BodyText"/>
        <w:spacing w:after="0"/>
        <w:ind w:left="3600"/>
      </w:pPr>
      <w:r>
        <w:t xml:space="preserve">2 in TH, with a 0% sanction detection rate </w:t>
      </w:r>
      <w:r w:rsidR="00E007B1">
        <w:t>compared to 3.5% in MPS, although</w:t>
      </w:r>
      <w:r>
        <w:t xml:space="preserve"> no hard conclusions can be drawn about </w:t>
      </w:r>
      <w:r w:rsidR="00E007B1">
        <w:t>the data</w:t>
      </w:r>
      <w:r>
        <w:t xml:space="preserve">. </w:t>
      </w:r>
    </w:p>
    <w:p w:rsidR="00E007B1" w:rsidRDefault="00E007B1" w:rsidP="00E007B1">
      <w:pPr>
        <w:pStyle w:val="BodyText"/>
        <w:spacing w:after="0"/>
        <w:ind w:left="3600"/>
      </w:pPr>
    </w:p>
    <w:p w:rsidR="00460BD5" w:rsidRDefault="00E007B1" w:rsidP="00460BD5">
      <w:pPr>
        <w:pStyle w:val="BodyText"/>
      </w:pPr>
      <w:r w:rsidRPr="00E007B1">
        <w:rPr>
          <w:b/>
        </w:rPr>
        <w:t>Racist</w:t>
      </w:r>
      <w:r w:rsidR="00460BD5" w:rsidRPr="00E007B1">
        <w:rPr>
          <w:b/>
        </w:rPr>
        <w:t xml:space="preserve"> hate crime:</w:t>
      </w:r>
      <w:r w:rsidR="00460BD5">
        <w:tab/>
      </w:r>
      <w:r w:rsidR="00460BD5">
        <w:tab/>
        <w:t>3120 across MPS</w:t>
      </w:r>
    </w:p>
    <w:p w:rsidR="00460BD5" w:rsidRDefault="00460BD5" w:rsidP="00460BD5">
      <w:pPr>
        <w:pStyle w:val="BodyText"/>
        <w:ind w:left="3600"/>
      </w:pPr>
      <w:r>
        <w:lastRenderedPageBreak/>
        <w:t>127 in TH, with 10% SD rate, compared to MPS rate of 6.6%</w:t>
      </w:r>
    </w:p>
    <w:p w:rsidR="00460BD5" w:rsidRDefault="00460BD5" w:rsidP="00460BD5">
      <w:pPr>
        <w:pStyle w:val="BodyText"/>
      </w:pPr>
    </w:p>
    <w:p w:rsidR="00460BD5" w:rsidRPr="00E007B1" w:rsidRDefault="00280444" w:rsidP="00460BD5">
      <w:pPr>
        <w:pStyle w:val="BodyText"/>
        <w:rPr>
          <w:b/>
          <w:u w:val="single"/>
        </w:rPr>
      </w:pPr>
      <w:r>
        <w:rPr>
          <w:b/>
          <w:u w:val="single"/>
        </w:rPr>
        <w:t>Data over 12 months</w:t>
      </w:r>
      <w:r w:rsidR="00460BD5" w:rsidRPr="00E007B1">
        <w:rPr>
          <w:b/>
          <w:u w:val="single"/>
        </w:rPr>
        <w:t>:</w:t>
      </w:r>
    </w:p>
    <w:p w:rsidR="00460BD5" w:rsidRDefault="00460BD5" w:rsidP="00460BD5">
      <w:pPr>
        <w:pStyle w:val="BodyText"/>
      </w:pPr>
    </w:p>
    <w:p w:rsidR="00460BD5" w:rsidRDefault="00460BD5" w:rsidP="00E007B1">
      <w:pPr>
        <w:pStyle w:val="BodyText"/>
        <w:spacing w:after="0"/>
      </w:pPr>
      <w:r w:rsidRPr="00280444">
        <w:rPr>
          <w:b/>
        </w:rPr>
        <w:t>Faith hate crime:</w:t>
      </w:r>
      <w:r w:rsidRPr="00280444">
        <w:rPr>
          <w:b/>
        </w:rPr>
        <w:tab/>
      </w:r>
      <w:r>
        <w:tab/>
      </w:r>
      <w:r>
        <w:tab/>
        <w:t>1861 across MPS</w:t>
      </w:r>
    </w:p>
    <w:p w:rsidR="00460BD5" w:rsidRDefault="00460BD5" w:rsidP="00E007B1">
      <w:pPr>
        <w:pStyle w:val="BodyText"/>
        <w:spacing w:after="0"/>
        <w:ind w:left="3600"/>
      </w:pPr>
      <w:r>
        <w:t>801 in TH – making the borough the 4</w:t>
      </w:r>
      <w:r w:rsidRPr="00460BD5">
        <w:rPr>
          <w:vertAlign w:val="superscript"/>
        </w:rPr>
        <w:t>th</w:t>
      </w:r>
      <w:r>
        <w:t xml:space="preserve"> highest figure in the MPS (similar to the figure last year).  TH has an SD rate of 8%, compared to 4% MPS.</w:t>
      </w:r>
    </w:p>
    <w:p w:rsidR="00E007B1" w:rsidRDefault="00E007B1" w:rsidP="00E007B1">
      <w:pPr>
        <w:pStyle w:val="BodyText"/>
        <w:spacing w:after="0"/>
        <w:ind w:left="3600"/>
      </w:pPr>
    </w:p>
    <w:p w:rsidR="00460BD5" w:rsidRDefault="00280444" w:rsidP="00E007B1">
      <w:pPr>
        <w:pStyle w:val="BodyText"/>
        <w:spacing w:after="0"/>
      </w:pPr>
      <w:r>
        <w:rPr>
          <w:b/>
        </w:rPr>
        <w:t>Ismalo</w:t>
      </w:r>
      <w:r w:rsidR="00460BD5" w:rsidRPr="00280444">
        <w:rPr>
          <w:b/>
        </w:rPr>
        <w:t>phiobic hate crime:</w:t>
      </w:r>
      <w:r w:rsidR="00460BD5">
        <w:tab/>
        <w:t>1108 across MPS</w:t>
      </w:r>
    </w:p>
    <w:p w:rsidR="00460BD5" w:rsidRDefault="00460BD5" w:rsidP="00E007B1">
      <w:pPr>
        <w:pStyle w:val="BodyText"/>
        <w:spacing w:after="0"/>
        <w:ind w:left="3600"/>
      </w:pPr>
      <w:r>
        <w:t xml:space="preserve">76 in TH, with an SD rate of 6.6% (an improvement but still more work to be done.  Important to bear in mind that </w:t>
      </w:r>
      <w:r w:rsidR="00E007B1">
        <w:t>the data</w:t>
      </w:r>
      <w:r>
        <w:t xml:space="preserve"> records both incidents and crimes – not all incidents end up being classed as crimes) MPS has an SD rate of 9.3%</w:t>
      </w:r>
    </w:p>
    <w:p w:rsidR="00E007B1" w:rsidRDefault="00E007B1" w:rsidP="00E007B1">
      <w:pPr>
        <w:pStyle w:val="BodyText"/>
        <w:spacing w:after="0"/>
        <w:ind w:left="3600"/>
      </w:pPr>
    </w:p>
    <w:p w:rsidR="00460BD5" w:rsidRDefault="00E007B1" w:rsidP="00E007B1">
      <w:pPr>
        <w:pStyle w:val="BodyText"/>
        <w:spacing w:after="0"/>
      </w:pPr>
      <w:r w:rsidRPr="00280444">
        <w:rPr>
          <w:b/>
        </w:rPr>
        <w:t>Anti-Semitic</w:t>
      </w:r>
      <w:r w:rsidR="00460BD5" w:rsidRPr="00280444">
        <w:rPr>
          <w:b/>
        </w:rPr>
        <w:t xml:space="preserve"> hate crime:</w:t>
      </w:r>
      <w:r w:rsidR="00460BD5">
        <w:tab/>
      </w:r>
      <w:r w:rsidR="00460BD5">
        <w:tab/>
        <w:t xml:space="preserve">471 </w:t>
      </w:r>
      <w:r>
        <w:t>across</w:t>
      </w:r>
      <w:r w:rsidR="00460BD5">
        <w:t xml:space="preserve"> MPS</w:t>
      </w:r>
    </w:p>
    <w:p w:rsidR="00460BD5" w:rsidRDefault="00460BD5" w:rsidP="00E007B1">
      <w:pPr>
        <w:pStyle w:val="BodyText"/>
        <w:spacing w:after="0"/>
        <w:ind w:left="3600"/>
      </w:pPr>
      <w:r>
        <w:t xml:space="preserve">8 in TH with an SD rate of 25% compared to the MPS rate of 7% </w:t>
      </w:r>
    </w:p>
    <w:p w:rsidR="00460BD5" w:rsidRDefault="00460BD5" w:rsidP="00460BD5">
      <w:pPr>
        <w:pStyle w:val="BodyText"/>
      </w:pPr>
    </w:p>
    <w:p w:rsidR="00460BD5" w:rsidRDefault="00E007B1" w:rsidP="00E007B1">
      <w:pPr>
        <w:pStyle w:val="BodyText"/>
        <w:spacing w:after="0"/>
      </w:pPr>
      <w:r w:rsidRPr="00280444">
        <w:rPr>
          <w:b/>
        </w:rPr>
        <w:t>Racist</w:t>
      </w:r>
      <w:r w:rsidR="00460BD5" w:rsidRPr="00280444">
        <w:rPr>
          <w:b/>
        </w:rPr>
        <w:t xml:space="preserve"> hate crime</w:t>
      </w:r>
      <w:r w:rsidR="00460BD5">
        <w:t>:</w:t>
      </w:r>
      <w:r w:rsidR="00460BD5">
        <w:tab/>
      </w:r>
      <w:r w:rsidR="00460BD5">
        <w:tab/>
        <w:t>13409 across MPS</w:t>
      </w:r>
    </w:p>
    <w:p w:rsidR="00460BD5" w:rsidRDefault="00460BD5" w:rsidP="00E007B1">
      <w:pPr>
        <w:pStyle w:val="BodyText"/>
        <w:spacing w:after="0"/>
        <w:ind w:left="3600"/>
      </w:pPr>
      <w:r>
        <w:t xml:space="preserve">5785 in TH, with SD rate of 10.8% compared to the SD rate for MPS of 11%.  Still a long way to go, but important to bear in mind </w:t>
      </w:r>
      <w:r w:rsidR="00E007B1">
        <w:t>that</w:t>
      </w:r>
      <w:r>
        <w:t xml:space="preserve"> there are many reasons for this, </w:t>
      </w:r>
      <w:r w:rsidR="00E007B1">
        <w:t>e.g.</w:t>
      </w:r>
      <w:r>
        <w:t xml:space="preserve"> Suspects not being identified, issues surrounding </w:t>
      </w:r>
      <w:r w:rsidR="00E007B1">
        <w:t>evidence</w:t>
      </w:r>
      <w:r>
        <w:t xml:space="preserve"> or some victims not wanting to </w:t>
      </w:r>
      <w:r w:rsidR="00E007B1">
        <w:t>proceed</w:t>
      </w:r>
      <w:r>
        <w:t xml:space="preserve">. </w:t>
      </w:r>
    </w:p>
    <w:p w:rsidR="00E007B1" w:rsidRDefault="00E007B1" w:rsidP="00E007B1">
      <w:pPr>
        <w:pStyle w:val="BodyText"/>
        <w:ind w:left="0"/>
      </w:pPr>
    </w:p>
    <w:p w:rsidR="00547814" w:rsidRDefault="00E007B1" w:rsidP="00547814">
      <w:pPr>
        <w:pStyle w:val="Heading2"/>
        <w:rPr>
          <w:rFonts w:ascii="Arial" w:hAnsi="Arial" w:cs="Arial"/>
          <w:b/>
          <w:color w:val="000000" w:themeColor="text1"/>
        </w:rPr>
      </w:pPr>
      <w:r>
        <w:rPr>
          <w:rFonts w:ascii="Arial" w:hAnsi="Arial" w:cs="Arial"/>
          <w:b/>
          <w:color w:val="000000" w:themeColor="text1"/>
        </w:rPr>
        <w:t>An update</w:t>
      </w:r>
      <w:r w:rsidR="00547814">
        <w:rPr>
          <w:rFonts w:ascii="Arial" w:hAnsi="Arial" w:cs="Arial"/>
          <w:b/>
          <w:color w:val="000000" w:themeColor="text1"/>
        </w:rPr>
        <w:t xml:space="preserve"> on the merging of </w:t>
      </w:r>
      <w:r>
        <w:rPr>
          <w:rFonts w:ascii="Arial" w:hAnsi="Arial" w:cs="Arial"/>
          <w:b/>
          <w:color w:val="000000" w:themeColor="text1"/>
        </w:rPr>
        <w:t xml:space="preserve">Tower Hamlets and Hackney policing </w:t>
      </w:r>
      <w:r w:rsidR="00547814">
        <w:rPr>
          <w:rFonts w:ascii="Arial" w:hAnsi="Arial" w:cs="Arial"/>
          <w:b/>
          <w:color w:val="000000" w:themeColor="text1"/>
        </w:rPr>
        <w:t>boroughs –</w:t>
      </w:r>
      <w:r w:rsidR="00BF2816">
        <w:rPr>
          <w:rFonts w:ascii="Arial" w:hAnsi="Arial" w:cs="Arial"/>
          <w:b/>
          <w:color w:val="000000" w:themeColor="text1"/>
        </w:rPr>
        <w:t xml:space="preserve"> DCI Ingrid </w:t>
      </w:r>
      <w:r>
        <w:rPr>
          <w:rFonts w:ascii="Arial" w:hAnsi="Arial" w:cs="Arial"/>
          <w:b/>
          <w:color w:val="000000" w:themeColor="text1"/>
        </w:rPr>
        <w:t>Cruickshank, MET</w:t>
      </w:r>
      <w:r w:rsidR="00547814">
        <w:rPr>
          <w:rFonts w:ascii="Arial" w:hAnsi="Arial" w:cs="Arial"/>
          <w:b/>
          <w:color w:val="000000" w:themeColor="text1"/>
        </w:rPr>
        <w:t xml:space="preserve"> Police</w:t>
      </w:r>
    </w:p>
    <w:p w:rsidR="00BF2816" w:rsidRDefault="00BF2816" w:rsidP="00BF2816">
      <w:pPr>
        <w:pStyle w:val="BodyText"/>
      </w:pPr>
    </w:p>
    <w:p w:rsidR="00BF2816" w:rsidRDefault="00BF2816" w:rsidP="00BF2816">
      <w:pPr>
        <w:pStyle w:val="BodyText"/>
      </w:pPr>
      <w:r>
        <w:t xml:space="preserve">The </w:t>
      </w:r>
      <w:r w:rsidR="00E007B1">
        <w:t>policing</w:t>
      </w:r>
      <w:r>
        <w:t xml:space="preserve"> borough of Tower </w:t>
      </w:r>
      <w:r w:rsidR="00280444">
        <w:t>Hamlets merged in October with H</w:t>
      </w:r>
      <w:r>
        <w:t xml:space="preserve">ackney, to form the </w:t>
      </w:r>
      <w:r w:rsidR="00280444">
        <w:t xml:space="preserve">Central East Base Command Unit </w:t>
      </w:r>
      <w:r>
        <w:t>and has had a positive effect</w:t>
      </w:r>
      <w:r w:rsidR="00280444">
        <w:t xml:space="preserve"> so far</w:t>
      </w:r>
      <w:r>
        <w:t xml:space="preserve">. </w:t>
      </w:r>
    </w:p>
    <w:p w:rsidR="00BF2816" w:rsidRDefault="00BF2816" w:rsidP="00BF2816">
      <w:pPr>
        <w:pStyle w:val="BodyText"/>
      </w:pPr>
      <w:r>
        <w:t xml:space="preserve">There are </w:t>
      </w:r>
      <w:r w:rsidR="00280444">
        <w:t>four</w:t>
      </w:r>
      <w:r>
        <w:t xml:space="preserve"> main strands to the unit: Response, </w:t>
      </w:r>
      <w:r w:rsidR="00E007B1">
        <w:t>Neighborhood</w:t>
      </w:r>
      <w:r>
        <w:t>, Head Quarters a</w:t>
      </w:r>
      <w:r w:rsidR="00E007B1">
        <w:t>nd</w:t>
      </w:r>
      <w:r>
        <w:t xml:space="preserve"> CID.   </w:t>
      </w:r>
    </w:p>
    <w:p w:rsidR="00BF2816" w:rsidRDefault="00BF2816" w:rsidP="00BF2816">
      <w:pPr>
        <w:pStyle w:val="BodyText"/>
      </w:pPr>
      <w:r>
        <w:t>DCI Cruickshank is part of the Safeguarding team, which</w:t>
      </w:r>
      <w:r w:rsidR="00280444">
        <w:t xml:space="preserve"> tackles</w:t>
      </w:r>
      <w:r>
        <w:t xml:space="preserve"> hate crime, domestic abuse and exploitation, in addition to running multi agency </w:t>
      </w:r>
      <w:r w:rsidR="00E007B1">
        <w:t>safe</w:t>
      </w:r>
      <w:r>
        <w:t xml:space="preserve"> </w:t>
      </w:r>
      <w:r>
        <w:lastRenderedPageBreak/>
        <w:t xml:space="preserve">guarding hubs that assist with any mental health issues </w:t>
      </w:r>
      <w:r w:rsidR="00E007B1">
        <w:t xml:space="preserve">that are linked to the cases. </w:t>
      </w:r>
    </w:p>
    <w:p w:rsidR="00BF2816" w:rsidRDefault="00BF2816" w:rsidP="00BF2816">
      <w:pPr>
        <w:pStyle w:val="BodyText"/>
      </w:pPr>
    </w:p>
    <w:p w:rsidR="00BF2816" w:rsidRDefault="00BF2816" w:rsidP="00BF2816">
      <w:pPr>
        <w:pStyle w:val="BodyText"/>
      </w:pPr>
      <w:r>
        <w:t xml:space="preserve">To date, there has been no instances of a </w:t>
      </w:r>
      <w:r w:rsidR="00E007B1">
        <w:t>demonstrable</w:t>
      </w:r>
      <w:r>
        <w:t xml:space="preserve"> impact to frontline services, due to the thorough planning of the merger and the way that it has opened up more coordination between the </w:t>
      </w:r>
      <w:r w:rsidR="00E007B1">
        <w:t>boroughs</w:t>
      </w:r>
      <w:r>
        <w:t xml:space="preserve">.  This is hugely positive as Tower Hamlets and Hackney police teams can share best practice and </w:t>
      </w:r>
      <w:r w:rsidR="00280444">
        <w:t>systems</w:t>
      </w:r>
      <w:r>
        <w:t xml:space="preserve"> that work well can be replicated.  This should result in </w:t>
      </w:r>
      <w:r w:rsidR="00E007B1">
        <w:t>continuing</w:t>
      </w:r>
      <w:r>
        <w:t xml:space="preserve"> improvements as time goes on. </w:t>
      </w:r>
    </w:p>
    <w:p w:rsidR="00BF2816" w:rsidRDefault="00BF2816" w:rsidP="00BF2816">
      <w:pPr>
        <w:pStyle w:val="BodyText"/>
      </w:pPr>
    </w:p>
    <w:p w:rsidR="00BF2816" w:rsidRDefault="00BF2816" w:rsidP="00BF2816">
      <w:pPr>
        <w:pStyle w:val="BodyText"/>
      </w:pPr>
      <w:r>
        <w:t>If you</w:t>
      </w:r>
      <w:r w:rsidR="00280444">
        <w:t xml:space="preserve"> do</w:t>
      </w:r>
      <w:r>
        <w:t xml:space="preserve"> think that there has been an adverse effect due to the merge, </w:t>
      </w:r>
      <w:r w:rsidR="00E007B1">
        <w:t>you</w:t>
      </w:r>
      <w:r>
        <w:t xml:space="preserve"> </w:t>
      </w:r>
      <w:r w:rsidR="00E007B1">
        <w:t>c</w:t>
      </w:r>
      <w:r>
        <w:t xml:space="preserve">an let DCI Cruikshank know at </w:t>
      </w:r>
      <w:hyperlink r:id="rId9" w:history="1">
        <w:r w:rsidR="00280444" w:rsidRPr="008E1DBF">
          <w:rPr>
            <w:rStyle w:val="Hyperlink"/>
          </w:rPr>
          <w:t>Ingrid.Cruickshank@met.police.uk</w:t>
        </w:r>
      </w:hyperlink>
      <w:r w:rsidR="00280444">
        <w:t xml:space="preserve">. </w:t>
      </w:r>
    </w:p>
    <w:p w:rsidR="00BF2816" w:rsidRDefault="00BF2816" w:rsidP="00BF2816">
      <w:pPr>
        <w:pStyle w:val="BodyText"/>
      </w:pPr>
    </w:p>
    <w:p w:rsidR="00BF2816" w:rsidRPr="00BF2816" w:rsidRDefault="00BF2816" w:rsidP="00BF2816">
      <w:pPr>
        <w:pStyle w:val="BodyText"/>
      </w:pPr>
      <w:r>
        <w:t xml:space="preserve">  </w:t>
      </w:r>
    </w:p>
    <w:p w:rsidR="00547814" w:rsidRDefault="00547814" w:rsidP="00547814">
      <w:pPr>
        <w:pStyle w:val="Heading2"/>
        <w:rPr>
          <w:rFonts w:ascii="Arial" w:hAnsi="Arial" w:cs="Arial"/>
          <w:b/>
          <w:color w:val="000000" w:themeColor="text1"/>
        </w:rPr>
      </w:pPr>
      <w:r>
        <w:rPr>
          <w:rFonts w:ascii="Arial" w:hAnsi="Arial" w:cs="Arial"/>
          <w:b/>
          <w:color w:val="000000" w:themeColor="text1"/>
        </w:rPr>
        <w:t>Inter Faith Week Event – Steering Group</w:t>
      </w:r>
    </w:p>
    <w:p w:rsidR="00912210" w:rsidRDefault="00912210" w:rsidP="00912210">
      <w:pPr>
        <w:pStyle w:val="BodyText"/>
      </w:pPr>
    </w:p>
    <w:p w:rsidR="00912210" w:rsidRDefault="00912210" w:rsidP="00912210">
      <w:pPr>
        <w:pStyle w:val="BodyText"/>
      </w:pPr>
      <w:r>
        <w:t>Reverend Alan Green provided a breakdown of the recent Inter Faith Week event held by THIFF.  Here are the details:</w:t>
      </w:r>
    </w:p>
    <w:p w:rsidR="00912210" w:rsidRDefault="00912210" w:rsidP="00912210">
      <w:pPr>
        <w:pStyle w:val="BodyText"/>
      </w:pPr>
      <w:r>
        <w:t xml:space="preserve">There was good attendance at the event, 101 people </w:t>
      </w:r>
      <w:r w:rsidR="00E007B1">
        <w:t>registered</w:t>
      </w:r>
      <w:r>
        <w:t xml:space="preserve"> to attend on Eventbrite, and an additional 12 people attended on the day.  </w:t>
      </w:r>
      <w:r w:rsidR="00280444">
        <w:t>T</w:t>
      </w:r>
      <w:r>
        <w:t xml:space="preserve">here were 65 people at the event.  People of all different faiths registered to come along (2 Baha’i, 3 Bhuddist, 36 Christian, 37 Islam, 1 Hindu, 3 Judaism, 1 Pagan, 1 Multi faith and 21 no faith).  There were a number of statutory organisations represented: MET Police, Tower Hamlets CCG, NHS East London, Tower Hamlets and Newham Councils. </w:t>
      </w:r>
    </w:p>
    <w:p w:rsidR="00E007B1" w:rsidRDefault="00912210" w:rsidP="00912210">
      <w:pPr>
        <w:pStyle w:val="BodyText"/>
      </w:pPr>
      <w:r>
        <w:t>There was plenty of good feedback provided, with many commenting on Dr Chris Hewers powerful speech</w:t>
      </w:r>
      <w:r w:rsidR="00E007B1">
        <w:t xml:space="preserve"> – particularly how he talked about how his own faith in Christianity was challenged but grew by learning about other faiths.  </w:t>
      </w:r>
    </w:p>
    <w:p w:rsidR="00E007B1" w:rsidRDefault="00E007B1" w:rsidP="00E007B1">
      <w:pPr>
        <w:pStyle w:val="BodyText"/>
        <w:ind w:left="0"/>
      </w:pPr>
      <w:r>
        <w:tab/>
      </w:r>
    </w:p>
    <w:p w:rsidR="00E007B1" w:rsidRDefault="00E007B1" w:rsidP="00E007B1">
      <w:pPr>
        <w:pStyle w:val="BodyText"/>
      </w:pPr>
      <w:r>
        <w:t xml:space="preserve">The inter cultural dialogue workshops also proved popular – feedback on the conclusions reached by the discussion will be shared on the website when available. </w:t>
      </w:r>
    </w:p>
    <w:p w:rsidR="00BA3619" w:rsidRPr="00912210" w:rsidRDefault="00BA3619" w:rsidP="00E007B1">
      <w:pPr>
        <w:pStyle w:val="BodyText"/>
      </w:pPr>
      <w:bookmarkStart w:id="0" w:name="_GoBack"/>
      <w:bookmarkEnd w:id="0"/>
    </w:p>
    <w:p w:rsidR="00547814" w:rsidRDefault="00547814" w:rsidP="00547814">
      <w:pPr>
        <w:pStyle w:val="Heading2"/>
        <w:rPr>
          <w:rFonts w:ascii="Arial" w:hAnsi="Arial" w:cs="Arial"/>
          <w:b/>
          <w:color w:val="000000" w:themeColor="text1"/>
        </w:rPr>
      </w:pPr>
      <w:r w:rsidRPr="00B54288">
        <w:rPr>
          <w:rFonts w:ascii="Arial" w:hAnsi="Arial" w:cs="Arial"/>
          <w:b/>
          <w:color w:val="000000" w:themeColor="text1"/>
        </w:rPr>
        <w:t>General Information</w:t>
      </w:r>
    </w:p>
    <w:p w:rsidR="00912210" w:rsidRDefault="00912210" w:rsidP="00912210">
      <w:pPr>
        <w:pStyle w:val="BodyText"/>
      </w:pPr>
    </w:p>
    <w:p w:rsidR="00912210" w:rsidRDefault="00912210" w:rsidP="00912210">
      <w:pPr>
        <w:pStyle w:val="BodyText"/>
      </w:pPr>
      <w:r>
        <w:t xml:space="preserve">Some of attendees had interesting information that they shared with the forum. </w:t>
      </w:r>
    </w:p>
    <w:p w:rsidR="00912210" w:rsidRPr="00E007B1" w:rsidRDefault="00C160BE" w:rsidP="00912210">
      <w:pPr>
        <w:pStyle w:val="BodyText"/>
        <w:rPr>
          <w:b/>
          <w:u w:val="single"/>
        </w:rPr>
      </w:pPr>
      <w:r w:rsidRPr="00E007B1">
        <w:rPr>
          <w:b/>
          <w:u w:val="single"/>
        </w:rPr>
        <w:t>Carers Centre, Tower Hamlets</w:t>
      </w:r>
    </w:p>
    <w:p w:rsidR="00912210" w:rsidRDefault="00912210" w:rsidP="00912210">
      <w:pPr>
        <w:pStyle w:val="BodyText"/>
      </w:pPr>
      <w:r>
        <w:t>Mohammad R</w:t>
      </w:r>
      <w:r w:rsidR="00280444">
        <w:t>ahman, from Tower Hamlets Carer</w:t>
      </w:r>
      <w:r>
        <w:t xml:space="preserve">s Centre spoke about the </w:t>
      </w:r>
      <w:r w:rsidR="00280444">
        <w:t>excellent</w:t>
      </w:r>
      <w:r>
        <w:t xml:space="preserve"> service that is </w:t>
      </w:r>
      <w:r w:rsidR="00E007B1">
        <w:t>offered</w:t>
      </w:r>
      <w:r>
        <w:t xml:space="preserve"> to carers aged 16 and over.  Many carers in the borough are suffering</w:t>
      </w:r>
      <w:r w:rsidR="00280444">
        <w:t>,</w:t>
      </w:r>
      <w:r>
        <w:t xml:space="preserve"> d</w:t>
      </w:r>
      <w:r w:rsidR="00280444">
        <w:t xml:space="preserve">ue to lack of help and respite </w:t>
      </w:r>
      <w:r>
        <w:t xml:space="preserve">and the </w:t>
      </w:r>
      <w:r w:rsidR="00E007B1">
        <w:t>center</w:t>
      </w:r>
      <w:r>
        <w:t xml:space="preserve"> provides much needed advice and </w:t>
      </w:r>
      <w:r w:rsidR="00E007B1">
        <w:t>activities</w:t>
      </w:r>
      <w:r>
        <w:t xml:space="preserve"> (including respite) for them – all free of charge.</w:t>
      </w:r>
    </w:p>
    <w:p w:rsidR="00C160BE" w:rsidRDefault="00C160BE" w:rsidP="00912210">
      <w:pPr>
        <w:pStyle w:val="BodyText"/>
      </w:pPr>
      <w:r>
        <w:t xml:space="preserve">An adviser at the Carers Centre has an informal chat with the carer to work out how they can be helped, sometimes this ends up with the person being referred to another service, but very often the carer is </w:t>
      </w:r>
      <w:r w:rsidR="00E007B1">
        <w:t>looking</w:t>
      </w:r>
      <w:r>
        <w:t xml:space="preserve"> for advice and support.  The </w:t>
      </w:r>
      <w:r w:rsidR="00E007B1">
        <w:t>center</w:t>
      </w:r>
      <w:r>
        <w:t xml:space="preserve"> offers advice on benefits (many carers do not claim benefits that they are entitled to), financial assistance (the center can refer a carer to a charity that can assist) or respite (many carers are in need of a night off from caring).</w:t>
      </w:r>
    </w:p>
    <w:p w:rsidR="00C160BE" w:rsidRDefault="00E007B1" w:rsidP="00912210">
      <w:pPr>
        <w:pStyle w:val="BodyText"/>
      </w:pPr>
      <w:r>
        <w:t>The Carer</w:t>
      </w:r>
      <w:r w:rsidR="00C160BE">
        <w:t xml:space="preserve">s Centre also offers advice of powers of attorney (for free, unlike many </w:t>
      </w:r>
      <w:r>
        <w:t>solicitors</w:t>
      </w:r>
      <w:r w:rsidR="00C160BE">
        <w:t xml:space="preserve"> that charge high fees).   They also understand the </w:t>
      </w:r>
      <w:r>
        <w:t>pressures</w:t>
      </w:r>
      <w:r w:rsidR="00C160BE">
        <w:t xml:space="preserve"> of carers that work </w:t>
      </w:r>
      <w:r>
        <w:t>as well</w:t>
      </w:r>
      <w:r w:rsidR="00C160BE">
        <w:t xml:space="preserve"> as caring, so their opening hours now extend to Saturdays too. </w:t>
      </w:r>
    </w:p>
    <w:p w:rsidR="00C160BE" w:rsidRDefault="00C160BE" w:rsidP="00912210">
      <w:pPr>
        <w:pStyle w:val="BodyText"/>
      </w:pPr>
      <w:r>
        <w:t xml:space="preserve">Anyone in the borough can </w:t>
      </w:r>
      <w:r w:rsidR="00E007B1">
        <w:t>self-refer</w:t>
      </w:r>
      <w:r>
        <w:t xml:space="preserve"> to the Carers Centre, this can be done on their website </w:t>
      </w:r>
      <w:hyperlink r:id="rId10" w:history="1">
        <w:r w:rsidRPr="00C160BE">
          <w:rPr>
            <w:rStyle w:val="Hyperlink"/>
          </w:rPr>
          <w:t>here</w:t>
        </w:r>
      </w:hyperlink>
      <w:r>
        <w:t xml:space="preserve">.  </w:t>
      </w:r>
    </w:p>
    <w:p w:rsidR="00C160BE" w:rsidRDefault="00C160BE" w:rsidP="00912210">
      <w:pPr>
        <w:pStyle w:val="BodyText"/>
      </w:pPr>
    </w:p>
    <w:p w:rsidR="00C160BE" w:rsidRPr="00E007B1" w:rsidRDefault="00C160BE" w:rsidP="00912210">
      <w:pPr>
        <w:pStyle w:val="BodyText"/>
        <w:rPr>
          <w:b/>
          <w:color w:val="auto"/>
          <w:u w:val="single"/>
        </w:rPr>
      </w:pPr>
      <w:r w:rsidRPr="00E007B1">
        <w:rPr>
          <w:b/>
          <w:color w:val="auto"/>
          <w:u w:val="single"/>
        </w:rPr>
        <w:t xml:space="preserve">Time Bank </w:t>
      </w:r>
    </w:p>
    <w:p w:rsidR="00C160BE" w:rsidRDefault="00F83AEE" w:rsidP="00912210">
      <w:pPr>
        <w:pStyle w:val="BodyText"/>
        <w:rPr>
          <w:rStyle w:val="Hyperlink"/>
        </w:rPr>
      </w:pPr>
      <w:r>
        <w:t xml:space="preserve">Selma Piro, </w:t>
      </w:r>
      <w:r w:rsidR="00C160BE">
        <w:t xml:space="preserve">shared her experience of being involved with Time Bank – </w:t>
      </w:r>
      <w:r w:rsidR="00E007B1">
        <w:t>a national</w:t>
      </w:r>
      <w:r w:rsidR="00C160BE">
        <w:t xml:space="preserve"> volunteering charity.   Time Bank is an umbrella website of a number of charities that believe volunteering can change the lives of both the volunteer and beneficiaries by building stronger inclusive communities. </w:t>
      </w:r>
      <w:r>
        <w:t xml:space="preserve">   More details about the project can be found </w:t>
      </w:r>
      <w:hyperlink r:id="rId11" w:history="1">
        <w:r w:rsidRPr="00F83AEE">
          <w:rPr>
            <w:rStyle w:val="Hyperlink"/>
          </w:rPr>
          <w:t>here</w:t>
        </w:r>
      </w:hyperlink>
      <w:r w:rsidR="00C74848">
        <w:rPr>
          <w:rStyle w:val="Hyperlink"/>
        </w:rPr>
        <w:t>.</w:t>
      </w:r>
    </w:p>
    <w:p w:rsidR="00280444" w:rsidRDefault="00280444" w:rsidP="00912210">
      <w:pPr>
        <w:pStyle w:val="BodyText"/>
      </w:pPr>
    </w:p>
    <w:p w:rsidR="00280444" w:rsidRPr="00C74848" w:rsidRDefault="00280444" w:rsidP="00280444">
      <w:pPr>
        <w:pStyle w:val="BodyText"/>
        <w:jc w:val="center"/>
        <w:rPr>
          <w:b/>
          <w:color w:val="000000" w:themeColor="text1"/>
        </w:rPr>
      </w:pPr>
      <w:r w:rsidRPr="00C74848">
        <w:rPr>
          <w:b/>
          <w:color w:val="000000" w:themeColor="text1"/>
        </w:rPr>
        <w:t>The next forum meeting will be held on 28</w:t>
      </w:r>
      <w:r w:rsidRPr="00C74848">
        <w:rPr>
          <w:b/>
          <w:color w:val="000000" w:themeColor="text1"/>
          <w:vertAlign w:val="superscript"/>
        </w:rPr>
        <w:t>th</w:t>
      </w:r>
      <w:r w:rsidRPr="00C74848">
        <w:rPr>
          <w:b/>
          <w:color w:val="000000" w:themeColor="text1"/>
        </w:rPr>
        <w:t xml:space="preserve"> January 2019, 6-8pm, venue tbc.</w:t>
      </w:r>
    </w:p>
    <w:p w:rsidR="00280444" w:rsidRPr="00C74848" w:rsidRDefault="00280444" w:rsidP="00280444">
      <w:pPr>
        <w:pStyle w:val="BodyText"/>
        <w:ind w:left="936"/>
        <w:rPr>
          <w:rFonts w:cstheme="minorHAnsi"/>
          <w:b/>
          <w:color w:val="000000" w:themeColor="text1"/>
        </w:rPr>
      </w:pPr>
      <w:r w:rsidRPr="00C74848">
        <w:rPr>
          <w:rFonts w:cstheme="minorHAnsi"/>
          <w:b/>
          <w:color w:val="000000" w:themeColor="text1"/>
        </w:rPr>
        <w:t xml:space="preserve">If you know anybody that is interested in being on the mailing list, please email </w:t>
      </w:r>
      <w:hyperlink r:id="rId12" w:history="1">
        <w:r w:rsidRPr="00C74848">
          <w:rPr>
            <w:rStyle w:val="Hyperlink"/>
            <w:rFonts w:cstheme="minorHAnsi"/>
            <w:b/>
            <w:color w:val="000000" w:themeColor="text1"/>
          </w:rPr>
          <w:t>info@faithintowerhamlets.org</w:t>
        </w:r>
      </w:hyperlink>
      <w:r w:rsidRPr="00C74848">
        <w:rPr>
          <w:rFonts w:cstheme="minorHAnsi"/>
          <w:b/>
          <w:color w:val="000000" w:themeColor="text1"/>
        </w:rPr>
        <w:t xml:space="preserve"> </w:t>
      </w:r>
    </w:p>
    <w:p w:rsidR="00F83AEE" w:rsidRDefault="00F83AEE" w:rsidP="00912210">
      <w:pPr>
        <w:pStyle w:val="BodyText"/>
      </w:pPr>
    </w:p>
    <w:p w:rsidR="00C160BE" w:rsidRDefault="00C160BE" w:rsidP="00912210">
      <w:pPr>
        <w:pStyle w:val="BodyText"/>
      </w:pPr>
    </w:p>
    <w:p w:rsidR="00C160BE" w:rsidRDefault="00C160BE" w:rsidP="00912210">
      <w:pPr>
        <w:pStyle w:val="BodyText"/>
      </w:pPr>
    </w:p>
    <w:p w:rsidR="00912210" w:rsidRPr="00912210" w:rsidRDefault="00C160BE" w:rsidP="00912210">
      <w:pPr>
        <w:pStyle w:val="BodyText"/>
      </w:pPr>
      <w:r>
        <w:t xml:space="preserve">  </w:t>
      </w:r>
    </w:p>
    <w:p w:rsidR="00547814" w:rsidRDefault="00547814" w:rsidP="00F83AEE">
      <w:pPr>
        <w:pStyle w:val="Heading2"/>
        <w:numPr>
          <w:ilvl w:val="0"/>
          <w:numId w:val="0"/>
        </w:numPr>
        <w:ind w:left="576" w:hanging="576"/>
        <w:rPr>
          <w:rFonts w:ascii="Arial" w:hAnsi="Arial" w:cs="Arial"/>
          <w:b/>
          <w:color w:val="000000" w:themeColor="text1"/>
        </w:rPr>
      </w:pPr>
    </w:p>
    <w:p w:rsidR="00547814" w:rsidRPr="00314082" w:rsidRDefault="00547814" w:rsidP="00547814">
      <w:pPr>
        <w:pStyle w:val="BodyText"/>
      </w:pPr>
    </w:p>
    <w:p w:rsidR="00547814" w:rsidRDefault="00547814" w:rsidP="00547814">
      <w:pPr>
        <w:pStyle w:val="BodyText"/>
        <w:spacing w:line="240" w:lineRule="auto"/>
        <w:jc w:val="center"/>
        <w:rPr>
          <w:rFonts w:ascii="Arial" w:hAnsi="Arial" w:cs="Arial"/>
          <w:color w:val="000000" w:themeColor="text1"/>
        </w:rPr>
      </w:pPr>
    </w:p>
    <w:p w:rsidR="00547814" w:rsidRDefault="00547814" w:rsidP="00547814">
      <w:pPr>
        <w:pStyle w:val="BodyText"/>
        <w:spacing w:line="240" w:lineRule="auto"/>
        <w:jc w:val="center"/>
        <w:rPr>
          <w:rFonts w:ascii="Arial" w:hAnsi="Arial" w:cs="Arial"/>
          <w:color w:val="000000" w:themeColor="text1"/>
        </w:rPr>
      </w:pPr>
    </w:p>
    <w:p w:rsidR="00547814" w:rsidRPr="00A10FCD" w:rsidRDefault="00547814" w:rsidP="00547814">
      <w:pPr>
        <w:pStyle w:val="BodyText"/>
        <w:ind w:left="0"/>
        <w:rPr>
          <w:rFonts w:ascii="Arial" w:hAnsi="Arial" w:cs="Arial"/>
          <w:b/>
          <w:color w:val="000000" w:themeColor="text1"/>
        </w:rPr>
      </w:pPr>
    </w:p>
    <w:p w:rsidR="00547814" w:rsidRDefault="00547814" w:rsidP="00547814"/>
    <w:p w:rsidR="00A8730E" w:rsidRDefault="00A8730E"/>
    <w:sectPr w:rsidR="00A8730E">
      <w:footerReference w:type="defaul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3619">
      <w:pPr>
        <w:spacing w:after="0" w:line="240" w:lineRule="auto"/>
      </w:pPr>
      <w:r>
        <w:separator/>
      </w:r>
    </w:p>
  </w:endnote>
  <w:endnote w:type="continuationSeparator" w:id="0">
    <w:p w:rsidR="00000000" w:rsidRDefault="00BA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B7" w:rsidRDefault="00E007B1">
    <w:pPr>
      <w:pStyle w:val="Footer"/>
    </w:pPr>
    <w:r>
      <w:t xml:space="preserve">Page </w:t>
    </w:r>
    <w:r>
      <w:fldChar w:fldCharType="begin"/>
    </w:r>
    <w:r>
      <w:instrText xml:space="preserve"> PAGE   \* MERGEFORMAT </w:instrText>
    </w:r>
    <w:r>
      <w:fldChar w:fldCharType="separate"/>
    </w:r>
    <w:r w:rsidR="00BA3619">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3619">
      <w:pPr>
        <w:spacing w:after="0" w:line="240" w:lineRule="auto"/>
      </w:pPr>
      <w:r>
        <w:separator/>
      </w:r>
    </w:p>
  </w:footnote>
  <w:footnote w:type="continuationSeparator" w:id="0">
    <w:p w:rsidR="00000000" w:rsidRDefault="00BA3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45B"/>
    <w:multiLevelType w:val="hybridMultilevel"/>
    <w:tmpl w:val="4D88C0C6"/>
    <w:lvl w:ilvl="0" w:tplc="DE7E2F9C">
      <w:numFmt w:val="bullet"/>
      <w:lvlText w:val="-"/>
      <w:lvlJc w:val="left"/>
      <w:pPr>
        <w:ind w:left="936" w:hanging="360"/>
      </w:pPr>
      <w:rPr>
        <w:rFonts w:ascii="Georgia" w:eastAsiaTheme="minorEastAsia" w:hAnsi="Georgia" w:cstheme="minorBidi"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 w15:restartNumberingAfterBreak="0">
    <w:nsid w:val="152842EE"/>
    <w:multiLevelType w:val="multilevel"/>
    <w:tmpl w:val="0C00D85E"/>
    <w:lvl w:ilvl="0">
      <w:start w:val="1"/>
      <w:numFmt w:val="upperRoman"/>
      <w:pStyle w:val="Heading2"/>
      <w:lvlText w:val="%1."/>
      <w:lvlJc w:val="left"/>
      <w:pPr>
        <w:ind w:left="576" w:hanging="576"/>
      </w:pPr>
      <w:rPr>
        <w:rFonts w:hint="default"/>
        <w:color w:val="7B7B7B" w:themeColor="accent3" w:themeShade="BF"/>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14"/>
    <w:rsid w:val="00094C2F"/>
    <w:rsid w:val="00151C74"/>
    <w:rsid w:val="001A2C02"/>
    <w:rsid w:val="00280444"/>
    <w:rsid w:val="0039035B"/>
    <w:rsid w:val="003959BD"/>
    <w:rsid w:val="00460BD5"/>
    <w:rsid w:val="00490963"/>
    <w:rsid w:val="004C1455"/>
    <w:rsid w:val="00547814"/>
    <w:rsid w:val="00627E3D"/>
    <w:rsid w:val="00821A27"/>
    <w:rsid w:val="00912210"/>
    <w:rsid w:val="009D6C4C"/>
    <w:rsid w:val="00A8730E"/>
    <w:rsid w:val="00BA3619"/>
    <w:rsid w:val="00BF2816"/>
    <w:rsid w:val="00C160BE"/>
    <w:rsid w:val="00C74848"/>
    <w:rsid w:val="00D36E50"/>
    <w:rsid w:val="00E007B1"/>
    <w:rsid w:val="00E930C7"/>
    <w:rsid w:val="00EC4867"/>
    <w:rsid w:val="00EE7EE7"/>
    <w:rsid w:val="00F7099F"/>
    <w:rsid w:val="00F8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F6BC"/>
  <w15:chartTrackingRefBased/>
  <w15:docId w15:val="{2B3F8F84-7819-48B0-8FB2-0F38557B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14"/>
    <w:pPr>
      <w:spacing w:after="220" w:line="264" w:lineRule="auto"/>
    </w:pPr>
    <w:rPr>
      <w:rFonts w:eastAsiaTheme="minorEastAsia"/>
      <w:color w:val="44546A" w:themeColor="text2"/>
      <w:lang w:val="en-US" w:eastAsia="ja-JP"/>
    </w:rPr>
  </w:style>
  <w:style w:type="paragraph" w:styleId="Heading2">
    <w:name w:val="heading 2"/>
    <w:basedOn w:val="Normal"/>
    <w:next w:val="BodyText"/>
    <w:link w:val="Heading2Char"/>
    <w:uiPriority w:val="3"/>
    <w:unhideWhenUsed/>
    <w:qFormat/>
    <w:rsid w:val="00547814"/>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rsid w:val="00547814"/>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rsid w:val="00547814"/>
    <w:pPr>
      <w:keepNext/>
      <w:keepLines/>
      <w:numPr>
        <w:ilvl w:val="2"/>
        <w:numId w:val="1"/>
      </w:numPr>
      <w:spacing w:before="40" w:after="0"/>
      <w:outlineLvl w:val="3"/>
    </w:pPr>
  </w:style>
  <w:style w:type="paragraph" w:styleId="Heading5">
    <w:name w:val="heading 5"/>
    <w:basedOn w:val="Normal"/>
    <w:next w:val="Normal"/>
    <w:link w:val="Heading5Char"/>
    <w:uiPriority w:val="3"/>
    <w:unhideWhenUsed/>
    <w:qFormat/>
    <w:rsid w:val="00547814"/>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rsid w:val="00547814"/>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rsid w:val="00547814"/>
    <w:pPr>
      <w:keepNext/>
      <w:keepLines/>
      <w:numPr>
        <w:ilvl w:val="5"/>
        <w:numId w:val="1"/>
      </w:numPr>
      <w:spacing w:before="40" w:after="0"/>
      <w:outlineLvl w:val="6"/>
    </w:pPr>
  </w:style>
  <w:style w:type="paragraph" w:styleId="Heading8">
    <w:name w:val="heading 8"/>
    <w:basedOn w:val="Normal"/>
    <w:next w:val="Normal"/>
    <w:link w:val="Heading8Char"/>
    <w:uiPriority w:val="3"/>
    <w:unhideWhenUsed/>
    <w:qFormat/>
    <w:rsid w:val="00547814"/>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rsid w:val="00547814"/>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47814"/>
    <w:rPr>
      <w:rFonts w:asciiTheme="majorHAnsi" w:eastAsiaTheme="majorEastAsia" w:hAnsiTheme="majorHAnsi" w:cstheme="majorBidi"/>
      <w:color w:val="44546A" w:themeColor="text2"/>
      <w:lang w:val="en-US" w:eastAsia="ja-JP"/>
    </w:rPr>
  </w:style>
  <w:style w:type="character" w:customStyle="1" w:styleId="Heading3Char">
    <w:name w:val="Heading 3 Char"/>
    <w:basedOn w:val="DefaultParagraphFont"/>
    <w:link w:val="Heading3"/>
    <w:uiPriority w:val="3"/>
    <w:rsid w:val="00547814"/>
    <w:rPr>
      <w:rFonts w:eastAsiaTheme="minorEastAsia"/>
      <w:color w:val="44546A" w:themeColor="text2"/>
      <w:lang w:val="en-US" w:eastAsia="ja-JP"/>
    </w:rPr>
  </w:style>
  <w:style w:type="character" w:customStyle="1" w:styleId="Heading4Char">
    <w:name w:val="Heading 4 Char"/>
    <w:basedOn w:val="DefaultParagraphFont"/>
    <w:link w:val="Heading4"/>
    <w:uiPriority w:val="3"/>
    <w:semiHidden/>
    <w:rsid w:val="00547814"/>
    <w:rPr>
      <w:rFonts w:eastAsiaTheme="minorEastAsia"/>
      <w:color w:val="44546A" w:themeColor="text2"/>
      <w:lang w:val="en-US" w:eastAsia="ja-JP"/>
    </w:rPr>
  </w:style>
  <w:style w:type="character" w:customStyle="1" w:styleId="Heading5Char">
    <w:name w:val="Heading 5 Char"/>
    <w:basedOn w:val="DefaultParagraphFont"/>
    <w:link w:val="Heading5"/>
    <w:uiPriority w:val="3"/>
    <w:rsid w:val="00547814"/>
    <w:rPr>
      <w:rFonts w:eastAsiaTheme="minorEastAsia"/>
      <w:color w:val="44546A" w:themeColor="text2"/>
      <w:lang w:val="en-US" w:eastAsia="ja-JP"/>
    </w:rPr>
  </w:style>
  <w:style w:type="character" w:customStyle="1" w:styleId="Heading6Char">
    <w:name w:val="Heading 6 Char"/>
    <w:basedOn w:val="DefaultParagraphFont"/>
    <w:link w:val="Heading6"/>
    <w:uiPriority w:val="3"/>
    <w:semiHidden/>
    <w:rsid w:val="00547814"/>
    <w:rPr>
      <w:rFonts w:eastAsiaTheme="minorEastAsia"/>
      <w:color w:val="44546A" w:themeColor="text2"/>
      <w:lang w:val="en-US" w:eastAsia="ja-JP"/>
    </w:rPr>
  </w:style>
  <w:style w:type="character" w:customStyle="1" w:styleId="Heading7Char">
    <w:name w:val="Heading 7 Char"/>
    <w:basedOn w:val="DefaultParagraphFont"/>
    <w:link w:val="Heading7"/>
    <w:uiPriority w:val="3"/>
    <w:semiHidden/>
    <w:rsid w:val="00547814"/>
    <w:rPr>
      <w:rFonts w:eastAsiaTheme="minorEastAsia"/>
      <w:color w:val="44546A" w:themeColor="text2"/>
      <w:lang w:val="en-US" w:eastAsia="ja-JP"/>
    </w:rPr>
  </w:style>
  <w:style w:type="character" w:customStyle="1" w:styleId="Heading8Char">
    <w:name w:val="Heading 8 Char"/>
    <w:basedOn w:val="DefaultParagraphFont"/>
    <w:link w:val="Heading8"/>
    <w:uiPriority w:val="3"/>
    <w:rsid w:val="00547814"/>
    <w:rPr>
      <w:rFonts w:eastAsiaTheme="minorEastAsia"/>
      <w:color w:val="44546A" w:themeColor="text2"/>
      <w:lang w:val="en-US" w:eastAsia="ja-JP"/>
    </w:rPr>
  </w:style>
  <w:style w:type="character" w:customStyle="1" w:styleId="Heading9Char">
    <w:name w:val="Heading 9 Char"/>
    <w:basedOn w:val="DefaultParagraphFont"/>
    <w:link w:val="Heading9"/>
    <w:uiPriority w:val="3"/>
    <w:semiHidden/>
    <w:rsid w:val="00547814"/>
    <w:rPr>
      <w:rFonts w:eastAsiaTheme="minorEastAsia"/>
      <w:i/>
      <w:iCs/>
      <w:color w:val="44546A" w:themeColor="text2"/>
      <w:lang w:val="en-US" w:eastAsia="ja-JP"/>
    </w:rPr>
  </w:style>
  <w:style w:type="paragraph" w:styleId="Title">
    <w:name w:val="Title"/>
    <w:basedOn w:val="Normal"/>
    <w:next w:val="Normal"/>
    <w:link w:val="TitleChar"/>
    <w:uiPriority w:val="1"/>
    <w:qFormat/>
    <w:rsid w:val="00547814"/>
    <w:pPr>
      <w:spacing w:before="280" w:after="280"/>
      <w:contextualSpacing/>
      <w:jc w:val="center"/>
    </w:pPr>
    <w:rPr>
      <w:rFonts w:asciiTheme="majorHAnsi" w:eastAsiaTheme="majorEastAsia" w:hAnsiTheme="majorHAnsi" w:cstheme="majorBidi"/>
      <w:color w:val="5B9BD5" w:themeColor="accent1"/>
      <w:kern w:val="28"/>
      <w:sz w:val="44"/>
      <w:szCs w:val="44"/>
    </w:rPr>
  </w:style>
  <w:style w:type="character" w:customStyle="1" w:styleId="TitleChar">
    <w:name w:val="Title Char"/>
    <w:basedOn w:val="DefaultParagraphFont"/>
    <w:link w:val="Title"/>
    <w:uiPriority w:val="1"/>
    <w:rsid w:val="00547814"/>
    <w:rPr>
      <w:rFonts w:asciiTheme="majorHAnsi" w:eastAsiaTheme="majorEastAsia" w:hAnsiTheme="majorHAnsi" w:cstheme="majorBidi"/>
      <w:color w:val="5B9BD5" w:themeColor="accent1"/>
      <w:kern w:val="28"/>
      <w:sz w:val="44"/>
      <w:szCs w:val="44"/>
      <w:lang w:val="en-US" w:eastAsia="ja-JP"/>
    </w:rPr>
  </w:style>
  <w:style w:type="table" w:customStyle="1" w:styleId="ClassicTitle">
    <w:name w:val="Classic Title"/>
    <w:basedOn w:val="TableNormal"/>
    <w:uiPriority w:val="99"/>
    <w:rsid w:val="00547814"/>
    <w:pPr>
      <w:spacing w:after="0" w:line="264" w:lineRule="auto"/>
    </w:pPr>
    <w:rPr>
      <w:rFonts w:eastAsiaTheme="minorEastAsia"/>
      <w:color w:val="44546A" w:themeColor="text2"/>
      <w:lang w:val="en-US"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547814"/>
    <w:pPr>
      <w:spacing w:after="360" w:line="264" w:lineRule="auto"/>
    </w:pPr>
    <w:rPr>
      <w:rFonts w:eastAsiaTheme="minorEastAsia"/>
      <w:color w:val="44546A" w:themeColor="text2"/>
      <w:lang w:val="en-US" w:eastAsia="ja-JP"/>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Footer">
    <w:name w:val="footer"/>
    <w:basedOn w:val="Normal"/>
    <w:link w:val="FooterChar"/>
    <w:uiPriority w:val="99"/>
    <w:unhideWhenUsed/>
    <w:rsid w:val="00547814"/>
    <w:pPr>
      <w:spacing w:before="360" w:after="0" w:line="240" w:lineRule="auto"/>
      <w:jc w:val="right"/>
    </w:pPr>
    <w:rPr>
      <w:szCs w:val="18"/>
    </w:rPr>
  </w:style>
  <w:style w:type="character" w:customStyle="1" w:styleId="FooterChar">
    <w:name w:val="Footer Char"/>
    <w:basedOn w:val="DefaultParagraphFont"/>
    <w:link w:val="Footer"/>
    <w:uiPriority w:val="99"/>
    <w:rsid w:val="00547814"/>
    <w:rPr>
      <w:rFonts w:eastAsiaTheme="minorEastAsia"/>
      <w:color w:val="44546A" w:themeColor="text2"/>
      <w:szCs w:val="18"/>
      <w:lang w:val="en-US" w:eastAsia="ja-JP"/>
    </w:rPr>
  </w:style>
  <w:style w:type="paragraph" w:styleId="BodyText">
    <w:name w:val="Body Text"/>
    <w:basedOn w:val="Normal"/>
    <w:link w:val="BodyTextChar"/>
    <w:uiPriority w:val="4"/>
    <w:unhideWhenUsed/>
    <w:qFormat/>
    <w:rsid w:val="00547814"/>
    <w:pPr>
      <w:spacing w:after="80"/>
      <w:ind w:left="576" w:right="2160"/>
    </w:pPr>
  </w:style>
  <w:style w:type="character" w:customStyle="1" w:styleId="BodyTextChar">
    <w:name w:val="Body Text Char"/>
    <w:basedOn w:val="DefaultParagraphFont"/>
    <w:link w:val="BodyText"/>
    <w:uiPriority w:val="4"/>
    <w:rsid w:val="00547814"/>
    <w:rPr>
      <w:rFonts w:eastAsiaTheme="minorEastAsia"/>
      <w:color w:val="44546A" w:themeColor="text2"/>
      <w:lang w:val="en-US" w:eastAsia="ja-JP"/>
    </w:rPr>
  </w:style>
  <w:style w:type="character" w:styleId="Hyperlink">
    <w:name w:val="Hyperlink"/>
    <w:basedOn w:val="DefaultParagraphFont"/>
    <w:uiPriority w:val="99"/>
    <w:unhideWhenUsed/>
    <w:rsid w:val="00C16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aithintowerhamle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ban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cth.org.uk/contact-2.html" TargetMode="External"/><Relationship Id="rId4" Type="http://schemas.openxmlformats.org/officeDocument/2006/relationships/settings" Target="settings.xml"/><Relationship Id="rId9" Type="http://schemas.openxmlformats.org/officeDocument/2006/relationships/hyperlink" Target="mailto:Ingrid.Cruickshank@met.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8FFE-92B0-4650-ABA8-C7AB8A9A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2018-12-04T13:35:00Z</dcterms:created>
  <dcterms:modified xsi:type="dcterms:W3CDTF">2018-12-04T16:46:00Z</dcterms:modified>
</cp:coreProperties>
</file>