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3B87" w14:textId="77777777" w:rsidR="002135C4" w:rsidRDefault="002135C4" w:rsidP="002135C4">
      <w:pPr>
        <w:spacing w:after="220" w:line="264" w:lineRule="auto"/>
        <w:jc w:val="center"/>
        <w:rPr>
          <w:rFonts w:ascii="Arial" w:eastAsiaTheme="minorEastAsia" w:hAnsi="Arial" w:cs="Arial"/>
          <w:color w:val="0E2841" w:themeColor="text2"/>
          <w:lang w:val="en-US" w:eastAsia="ja-JP"/>
        </w:rPr>
      </w:pPr>
      <w:r w:rsidRPr="00AB4A77">
        <w:rPr>
          <w:rFonts w:ascii="Arial" w:eastAsiaTheme="majorEastAsia" w:hAnsi="Arial" w:cs="Arial"/>
          <w:noProof/>
          <w:color w:val="156082" w:themeColor="accent1"/>
          <w:kern w:val="28"/>
          <w:sz w:val="44"/>
          <w:szCs w:val="44"/>
          <w:lang w:eastAsia="en-GB"/>
        </w:rPr>
        <w:drawing>
          <wp:inline distT="0" distB="0" distL="0" distR="0" wp14:anchorId="54562C12" wp14:editId="6465C0E1">
            <wp:extent cx="831850" cy="1068653"/>
            <wp:effectExtent l="0" t="0" r="635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7" cstate="print">
                      <a:extLst>
                        <a:ext uri="{28A0092B-C50C-407E-A947-70E740481C1C}">
                          <a14:useLocalDpi xmlns:a14="http://schemas.microsoft.com/office/drawing/2010/main" val="0"/>
                        </a:ext>
                      </a:extLst>
                    </a:blip>
                    <a:srcRect l="15104" t="4141" r="13972" b="4746"/>
                    <a:stretch/>
                  </pic:blipFill>
                  <pic:spPr bwMode="auto">
                    <a:xfrm>
                      <a:off x="0" y="0"/>
                      <a:ext cx="856615" cy="1100467"/>
                    </a:xfrm>
                    <a:prstGeom prst="rect">
                      <a:avLst/>
                    </a:prstGeom>
                    <a:ln>
                      <a:noFill/>
                    </a:ln>
                    <a:extLst>
                      <a:ext uri="{53640926-AAD7-44D8-BBD7-CCE9431645EC}">
                        <a14:shadowObscured xmlns:a14="http://schemas.microsoft.com/office/drawing/2010/main"/>
                      </a:ext>
                    </a:extLst>
                  </pic:spPr>
                </pic:pic>
              </a:graphicData>
            </a:graphic>
          </wp:inline>
        </w:drawing>
      </w:r>
    </w:p>
    <w:p w14:paraId="78636FF3" w14:textId="27D0C87B" w:rsidR="002135C4" w:rsidRDefault="002135C4" w:rsidP="002135C4">
      <w:pPr>
        <w:tabs>
          <w:tab w:val="left" w:pos="4830"/>
        </w:tabs>
        <w:spacing w:after="0" w:line="264" w:lineRule="auto"/>
        <w:jc w:val="center"/>
        <w:rPr>
          <w:rFonts w:ascii="Arial" w:eastAsiaTheme="minorEastAsia" w:hAnsi="Arial" w:cs="Arial"/>
          <w:b/>
          <w:color w:val="0E2841" w:themeColor="text2"/>
          <w:sz w:val="40"/>
          <w:szCs w:val="40"/>
          <w:lang w:val="en-US" w:eastAsia="ja-JP"/>
        </w:rPr>
      </w:pPr>
      <w:r>
        <w:rPr>
          <w:rFonts w:ascii="Arial" w:eastAsiaTheme="minorEastAsia" w:hAnsi="Arial" w:cs="Arial"/>
          <w:b/>
          <w:color w:val="0E2841" w:themeColor="text2"/>
          <w:sz w:val="40"/>
          <w:szCs w:val="40"/>
          <w:lang w:val="en-US" w:eastAsia="ja-JP"/>
        </w:rPr>
        <w:t xml:space="preserve">THIFF FORUM MEETING: </w:t>
      </w:r>
      <w:r w:rsidR="00FE6503">
        <w:rPr>
          <w:rFonts w:ascii="Arial" w:eastAsiaTheme="minorEastAsia" w:hAnsi="Arial" w:cs="Arial"/>
          <w:b/>
          <w:color w:val="0E2841" w:themeColor="text2"/>
          <w:sz w:val="40"/>
          <w:szCs w:val="40"/>
          <w:lang w:val="en-US" w:eastAsia="ja-JP"/>
        </w:rPr>
        <w:t>Strengthening Faith Sector Engagement</w:t>
      </w:r>
    </w:p>
    <w:p w14:paraId="19CAA92D" w14:textId="6594DD6F" w:rsidR="002135C4" w:rsidRPr="007D2957" w:rsidRDefault="002135C4" w:rsidP="002135C4">
      <w:pPr>
        <w:spacing w:after="0" w:line="264" w:lineRule="auto"/>
        <w:jc w:val="center"/>
        <w:rPr>
          <w:rFonts w:ascii="Arial" w:eastAsiaTheme="minorEastAsia" w:hAnsi="Arial" w:cs="Arial"/>
          <w:b/>
          <w:color w:val="0E2841" w:themeColor="text2"/>
          <w:sz w:val="24"/>
          <w:szCs w:val="24"/>
          <w:lang w:val="en-US" w:eastAsia="ja-JP"/>
        </w:rPr>
      </w:pPr>
      <w:r w:rsidRPr="00C93AA4">
        <w:rPr>
          <w:rFonts w:ascii="Arial" w:eastAsiaTheme="minorEastAsia" w:hAnsi="Arial" w:cs="Arial"/>
          <w:b/>
          <w:color w:val="0E2841" w:themeColor="text2"/>
          <w:sz w:val="24"/>
          <w:szCs w:val="24"/>
          <w:lang w:val="en-US" w:eastAsia="ja-JP"/>
        </w:rPr>
        <w:t xml:space="preserve">Location: </w:t>
      </w:r>
      <w:proofErr w:type="spellStart"/>
      <w:r w:rsidR="00FE6503">
        <w:rPr>
          <w:rFonts w:ascii="Arial" w:eastAsiaTheme="minorEastAsia" w:hAnsi="Arial" w:cs="Arial"/>
          <w:b/>
          <w:color w:val="0E2841" w:themeColor="text2"/>
          <w:sz w:val="24"/>
          <w:szCs w:val="24"/>
          <w:lang w:val="en-US" w:eastAsia="ja-JP"/>
        </w:rPr>
        <w:t>Feldy</w:t>
      </w:r>
      <w:proofErr w:type="spellEnd"/>
      <w:r w:rsidR="00FE6503">
        <w:rPr>
          <w:rFonts w:ascii="Arial" w:eastAsiaTheme="minorEastAsia" w:hAnsi="Arial" w:cs="Arial"/>
          <w:b/>
          <w:color w:val="0E2841" w:themeColor="text2"/>
          <w:sz w:val="24"/>
          <w:szCs w:val="24"/>
          <w:lang w:val="en-US" w:eastAsia="ja-JP"/>
        </w:rPr>
        <w:t xml:space="preserve"> Centre</w:t>
      </w:r>
    </w:p>
    <w:p w14:paraId="0EC8EC68" w14:textId="69E1D7E9" w:rsidR="002135C4" w:rsidRPr="00C93AA4" w:rsidRDefault="002135C4" w:rsidP="002135C4">
      <w:pPr>
        <w:spacing w:after="0"/>
        <w:jc w:val="center"/>
        <w:rPr>
          <w:rFonts w:ascii="Arial" w:hAnsi="Arial" w:cs="Arial"/>
          <w:sz w:val="24"/>
          <w:szCs w:val="24"/>
        </w:rPr>
      </w:pPr>
      <w:r w:rsidRPr="00C93AA4">
        <w:rPr>
          <w:rFonts w:ascii="Arial" w:hAnsi="Arial" w:cs="Arial"/>
          <w:b/>
          <w:color w:val="0E2841" w:themeColor="text2"/>
          <w:sz w:val="28"/>
          <w:szCs w:val="28"/>
        </w:rPr>
        <w:t>Date:</w:t>
      </w:r>
      <w:r w:rsidRPr="00C93AA4">
        <w:rPr>
          <w:rFonts w:ascii="Arial" w:hAnsi="Arial" w:cs="Arial"/>
          <w:color w:val="0E2841" w:themeColor="text2"/>
          <w:sz w:val="24"/>
          <w:szCs w:val="24"/>
        </w:rPr>
        <w:t xml:space="preserve"> </w:t>
      </w:r>
      <w:r>
        <w:rPr>
          <w:rFonts w:ascii="Arial" w:hAnsi="Arial" w:cs="Arial"/>
          <w:color w:val="0E2841" w:themeColor="text2"/>
          <w:sz w:val="24"/>
          <w:szCs w:val="24"/>
        </w:rPr>
        <w:t xml:space="preserve">Monday </w:t>
      </w:r>
      <w:r w:rsidR="00FE6503">
        <w:rPr>
          <w:rFonts w:ascii="Arial" w:hAnsi="Arial" w:cs="Arial"/>
          <w:color w:val="0E2841" w:themeColor="text2"/>
          <w:sz w:val="24"/>
          <w:szCs w:val="24"/>
        </w:rPr>
        <w:t>23</w:t>
      </w:r>
      <w:r>
        <w:rPr>
          <w:rFonts w:ascii="Arial" w:hAnsi="Arial" w:cs="Arial"/>
          <w:color w:val="0E2841" w:themeColor="text2"/>
          <w:sz w:val="24"/>
          <w:szCs w:val="24"/>
        </w:rPr>
        <w:t xml:space="preserve"> </w:t>
      </w:r>
      <w:r w:rsidR="00FE6503">
        <w:rPr>
          <w:rFonts w:ascii="Arial" w:hAnsi="Arial" w:cs="Arial"/>
          <w:color w:val="0E2841" w:themeColor="text2"/>
          <w:sz w:val="24"/>
          <w:szCs w:val="24"/>
        </w:rPr>
        <w:t>March</w:t>
      </w:r>
      <w:r w:rsidRPr="00C93AA4">
        <w:rPr>
          <w:rFonts w:ascii="Arial" w:hAnsi="Arial" w:cs="Arial"/>
          <w:color w:val="0E2841" w:themeColor="text2"/>
          <w:sz w:val="24"/>
          <w:szCs w:val="24"/>
        </w:rPr>
        <w:t xml:space="preserve"> 202</w:t>
      </w:r>
      <w:r w:rsidR="00FE6503">
        <w:rPr>
          <w:rFonts w:ascii="Arial" w:hAnsi="Arial" w:cs="Arial"/>
          <w:color w:val="0E2841" w:themeColor="text2"/>
          <w:sz w:val="24"/>
          <w:szCs w:val="24"/>
        </w:rPr>
        <w:t>6</w:t>
      </w:r>
    </w:p>
    <w:p w14:paraId="4D220914" w14:textId="279B231A" w:rsidR="002135C4" w:rsidRDefault="002135C4" w:rsidP="002135C4">
      <w:pPr>
        <w:spacing w:after="0"/>
        <w:jc w:val="center"/>
        <w:rPr>
          <w:rFonts w:ascii="Arial" w:hAnsi="Arial" w:cs="Arial"/>
          <w:color w:val="0E2841" w:themeColor="text2"/>
          <w:sz w:val="24"/>
          <w:szCs w:val="24"/>
        </w:rPr>
      </w:pPr>
      <w:r w:rsidRPr="00C93AA4">
        <w:rPr>
          <w:rFonts w:ascii="Arial" w:hAnsi="Arial" w:cs="Arial"/>
          <w:b/>
          <w:color w:val="0E2841" w:themeColor="text2"/>
          <w:sz w:val="28"/>
          <w:szCs w:val="28"/>
        </w:rPr>
        <w:t>Time</w:t>
      </w:r>
      <w:r w:rsidRPr="00C93AA4">
        <w:rPr>
          <w:rFonts w:ascii="Arial" w:hAnsi="Arial" w:cs="Arial"/>
          <w:sz w:val="24"/>
          <w:szCs w:val="24"/>
        </w:rPr>
        <w:t xml:space="preserve">: </w:t>
      </w:r>
      <w:r w:rsidRPr="00C93AA4">
        <w:rPr>
          <w:rFonts w:ascii="Arial" w:hAnsi="Arial" w:cs="Arial"/>
          <w:color w:val="0E2841" w:themeColor="text2"/>
          <w:sz w:val="24"/>
          <w:szCs w:val="24"/>
        </w:rPr>
        <w:t>6-8p</w:t>
      </w:r>
      <w:r>
        <w:rPr>
          <w:rFonts w:ascii="Arial" w:hAnsi="Arial" w:cs="Arial"/>
          <w:color w:val="0E2841" w:themeColor="text2"/>
          <w:sz w:val="24"/>
          <w:szCs w:val="24"/>
        </w:rPr>
        <w:t>m</w:t>
      </w:r>
    </w:p>
    <w:p w14:paraId="69CBC6F4" w14:textId="77777777" w:rsidR="002135C4" w:rsidRDefault="002135C4" w:rsidP="002135C4">
      <w:pPr>
        <w:spacing w:after="0"/>
        <w:jc w:val="center"/>
        <w:rPr>
          <w:rFonts w:ascii="Arial" w:hAnsi="Arial" w:cs="Arial"/>
          <w:color w:val="0E2841" w:themeColor="text2"/>
          <w:sz w:val="24"/>
          <w:szCs w:val="24"/>
        </w:rPr>
      </w:pPr>
    </w:p>
    <w:p w14:paraId="13C395C1" w14:textId="3F41666D" w:rsidR="002135C4" w:rsidRDefault="002135C4" w:rsidP="002135C4">
      <w:pPr>
        <w:spacing w:after="0"/>
        <w:jc w:val="center"/>
        <w:rPr>
          <w:rFonts w:ascii="Arial" w:hAnsi="Arial" w:cs="Arial"/>
          <w:color w:val="0E2841" w:themeColor="text2"/>
          <w:sz w:val="24"/>
          <w:szCs w:val="24"/>
        </w:rPr>
      </w:pPr>
      <w:r>
        <w:rPr>
          <w:rFonts w:ascii="Arial" w:hAnsi="Arial" w:cs="Arial"/>
          <w:noProof/>
          <w:color w:val="0E2841" w:themeColor="text2"/>
          <w:sz w:val="24"/>
          <w:szCs w:val="24"/>
          <w14:ligatures w14:val="standardContextual"/>
        </w:rPr>
        <w:drawing>
          <wp:inline distT="0" distB="0" distL="0" distR="0" wp14:anchorId="4B034B26" wp14:editId="2B11C956">
            <wp:extent cx="4048125" cy="3048000"/>
            <wp:effectExtent l="0" t="0" r="9525" b="0"/>
            <wp:docPr id="665469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6937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2588" cy="3051360"/>
                    </a:xfrm>
                    <a:prstGeom prst="rect">
                      <a:avLst/>
                    </a:prstGeom>
                  </pic:spPr>
                </pic:pic>
              </a:graphicData>
            </a:graphic>
          </wp:inline>
        </w:drawing>
      </w:r>
    </w:p>
    <w:p w14:paraId="05BB5B90" w14:textId="77777777" w:rsidR="00EA31A8" w:rsidRDefault="00EA31A8" w:rsidP="00FE6503">
      <w:pPr>
        <w:spacing w:after="0"/>
        <w:rPr>
          <w:rFonts w:ascii="Arial" w:hAnsi="Arial" w:cs="Arial"/>
          <w:color w:val="0E2841" w:themeColor="text2"/>
          <w:sz w:val="24"/>
          <w:szCs w:val="24"/>
        </w:rPr>
      </w:pPr>
    </w:p>
    <w:p w14:paraId="7DED4417" w14:textId="019E4B9A" w:rsidR="0066370C" w:rsidRDefault="00EA31A8" w:rsidP="0066370C">
      <w:pPr>
        <w:spacing w:after="0"/>
        <w:rPr>
          <w:rFonts w:ascii="Arial" w:hAnsi="Arial" w:cs="Arial"/>
          <w:color w:val="0E2841" w:themeColor="text2"/>
          <w:sz w:val="24"/>
          <w:szCs w:val="24"/>
        </w:rPr>
      </w:pPr>
      <w:r>
        <w:rPr>
          <w:rFonts w:ascii="Arial" w:hAnsi="Arial" w:cs="Arial"/>
          <w:color w:val="0E2841" w:themeColor="text2"/>
          <w:sz w:val="24"/>
          <w:szCs w:val="24"/>
        </w:rPr>
        <w:t>March’s THIFF Forum Meeting was a guided discussion, led by Dr Dan Range, Director of the Centre for Inclusive Evaluation</w:t>
      </w:r>
      <w:r w:rsidR="00823ABD">
        <w:rPr>
          <w:rFonts w:ascii="Arial" w:hAnsi="Arial" w:cs="Arial"/>
          <w:color w:val="0E2841" w:themeColor="text2"/>
          <w:sz w:val="24"/>
          <w:szCs w:val="24"/>
        </w:rPr>
        <w:t xml:space="preserve">. </w:t>
      </w:r>
      <w:r w:rsidR="0066370C" w:rsidRPr="0066370C">
        <w:rPr>
          <w:rFonts w:ascii="Arial" w:hAnsi="Arial" w:cs="Arial"/>
          <w:color w:val="0E2841" w:themeColor="text2"/>
          <w:sz w:val="24"/>
          <w:szCs w:val="24"/>
        </w:rPr>
        <w:t xml:space="preserve">The discussion focused on </w:t>
      </w:r>
      <w:r w:rsidR="0066370C" w:rsidRPr="0066370C">
        <w:rPr>
          <w:rFonts w:ascii="Arial" w:hAnsi="Arial" w:cs="Arial"/>
          <w:b/>
          <w:bCs/>
          <w:color w:val="0E2841" w:themeColor="text2"/>
          <w:sz w:val="24"/>
          <w:szCs w:val="24"/>
        </w:rPr>
        <w:t>engagement between faith communities in Tower Hamlets and statutory services such as the council and NHS</w:t>
      </w:r>
      <w:r w:rsidR="0066370C" w:rsidRPr="0066370C">
        <w:rPr>
          <w:rFonts w:ascii="Arial" w:hAnsi="Arial" w:cs="Arial"/>
          <w:color w:val="0E2841" w:themeColor="text2"/>
          <w:sz w:val="24"/>
          <w:szCs w:val="24"/>
        </w:rPr>
        <w:t>, with particular attention to consultation, community cohesion, trust and representation.</w:t>
      </w:r>
    </w:p>
    <w:p w14:paraId="3C27DF45" w14:textId="77777777" w:rsidR="0066370C" w:rsidRPr="0066370C" w:rsidRDefault="0066370C" w:rsidP="0066370C">
      <w:pPr>
        <w:spacing w:after="0"/>
        <w:rPr>
          <w:rFonts w:ascii="Arial" w:hAnsi="Arial" w:cs="Arial"/>
          <w:color w:val="0E2841" w:themeColor="text2"/>
          <w:sz w:val="24"/>
          <w:szCs w:val="24"/>
        </w:rPr>
      </w:pPr>
    </w:p>
    <w:p w14:paraId="125A2B35"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1. Current engagement with the council and NHS</w:t>
      </w:r>
    </w:p>
    <w:p w14:paraId="283845AE" w14:textId="069CE0B3"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Participants felt that engagement has improved in some </w:t>
      </w:r>
      <w:r w:rsidRPr="0066370C">
        <w:rPr>
          <w:rFonts w:ascii="Arial" w:hAnsi="Arial" w:cs="Arial"/>
          <w:color w:val="0E2841" w:themeColor="text2"/>
          <w:sz w:val="24"/>
          <w:szCs w:val="24"/>
        </w:rPr>
        <w:t>respects but</w:t>
      </w:r>
      <w:r w:rsidRPr="0066370C">
        <w:rPr>
          <w:rFonts w:ascii="Arial" w:hAnsi="Arial" w:cs="Arial"/>
          <w:color w:val="0E2841" w:themeColor="text2"/>
          <w:sz w:val="24"/>
          <w:szCs w:val="24"/>
        </w:rPr>
        <w:t xml:space="preserve"> remains inconsistent and often </w:t>
      </w:r>
      <w:r w:rsidRPr="0066370C">
        <w:rPr>
          <w:rFonts w:ascii="Arial" w:hAnsi="Arial" w:cs="Arial"/>
          <w:b/>
          <w:bCs/>
          <w:color w:val="0E2841" w:themeColor="text2"/>
          <w:sz w:val="24"/>
          <w:szCs w:val="24"/>
        </w:rPr>
        <w:t>reactive rather than proactive</w:t>
      </w:r>
      <w:r w:rsidRPr="0066370C">
        <w:rPr>
          <w:rFonts w:ascii="Arial" w:hAnsi="Arial" w:cs="Arial"/>
          <w:color w:val="0E2841" w:themeColor="text2"/>
          <w:sz w:val="24"/>
          <w:szCs w:val="24"/>
        </w:rPr>
        <w:t>. There are opportunities for faith groups to participate in consultations, but concerns remain about whether their contributions are genuinely listened to and acted upon.</w:t>
      </w:r>
    </w:p>
    <w:p w14:paraId="6C90E0C6" w14:textId="77777777" w:rsidR="0066370C" w:rsidRPr="0066370C" w:rsidRDefault="0066370C" w:rsidP="0066370C">
      <w:pPr>
        <w:spacing w:after="0"/>
        <w:rPr>
          <w:rFonts w:ascii="Arial" w:hAnsi="Arial" w:cs="Arial"/>
          <w:color w:val="0E2841" w:themeColor="text2"/>
          <w:sz w:val="24"/>
          <w:szCs w:val="24"/>
        </w:rPr>
      </w:pPr>
    </w:p>
    <w:p w14:paraId="11D5EB3F"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The importance of making consultations accessible was emphasised, including using QR codes, different venues and more direct approaches to communities. Participants also felt that the council could do more to publicise the work of the </w:t>
      </w:r>
      <w:r w:rsidRPr="0066370C">
        <w:rPr>
          <w:rFonts w:ascii="Arial" w:hAnsi="Arial" w:cs="Arial"/>
          <w:b/>
          <w:bCs/>
          <w:color w:val="0E2841" w:themeColor="text2"/>
          <w:sz w:val="24"/>
          <w:szCs w:val="24"/>
        </w:rPr>
        <w:t>Tower Hamlets Inter Faith Forum (THIFF)</w:t>
      </w:r>
      <w:r w:rsidRPr="0066370C">
        <w:rPr>
          <w:rFonts w:ascii="Arial" w:hAnsi="Arial" w:cs="Arial"/>
          <w:color w:val="0E2841" w:themeColor="text2"/>
          <w:sz w:val="24"/>
          <w:szCs w:val="24"/>
        </w:rPr>
        <w:t xml:space="preserve"> and communicate the value of faith communities' contributions.</w:t>
      </w:r>
    </w:p>
    <w:p w14:paraId="20C1B6F8" w14:textId="77777777" w:rsidR="0066370C" w:rsidRPr="0066370C" w:rsidRDefault="0066370C" w:rsidP="0066370C">
      <w:pPr>
        <w:spacing w:after="0"/>
        <w:rPr>
          <w:rFonts w:ascii="Arial" w:hAnsi="Arial" w:cs="Arial"/>
          <w:color w:val="0E2841" w:themeColor="text2"/>
          <w:sz w:val="24"/>
          <w:szCs w:val="24"/>
        </w:rPr>
      </w:pPr>
    </w:p>
    <w:p w14:paraId="56AE8ADB"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lastRenderedPageBreak/>
        <w:t>2. Faith communities and community cohesion</w:t>
      </w:r>
    </w:p>
    <w:p w14:paraId="0111CB87"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major theme was the </w:t>
      </w:r>
      <w:r w:rsidRPr="0066370C">
        <w:rPr>
          <w:rFonts w:ascii="Arial" w:hAnsi="Arial" w:cs="Arial"/>
          <w:b/>
          <w:bCs/>
          <w:color w:val="0E2841" w:themeColor="text2"/>
          <w:sz w:val="24"/>
          <w:szCs w:val="24"/>
        </w:rPr>
        <w:t>role of faith groups in building cohesion and resilience</w:t>
      </w:r>
      <w:r w:rsidRPr="0066370C">
        <w:rPr>
          <w:rFonts w:ascii="Arial" w:hAnsi="Arial" w:cs="Arial"/>
          <w:color w:val="0E2841" w:themeColor="text2"/>
          <w:sz w:val="24"/>
          <w:szCs w:val="24"/>
        </w:rPr>
        <w:t xml:space="preserve"> across a highly diverse borough. THIFF was described as providing a way to bring communities together around shared local concerns such as housing, health and safer streets, rather than focusing on religious differences.</w:t>
      </w:r>
    </w:p>
    <w:p w14:paraId="78C93615" w14:textId="77777777" w:rsidR="0066370C" w:rsidRPr="0066370C" w:rsidRDefault="0066370C" w:rsidP="0066370C">
      <w:pPr>
        <w:spacing w:after="0"/>
        <w:rPr>
          <w:rFonts w:ascii="Arial" w:hAnsi="Arial" w:cs="Arial"/>
          <w:color w:val="0E2841" w:themeColor="text2"/>
          <w:sz w:val="24"/>
          <w:szCs w:val="24"/>
        </w:rPr>
      </w:pPr>
    </w:p>
    <w:p w14:paraId="22B9B6F6"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Participants highlighted examples including:</w:t>
      </w:r>
    </w:p>
    <w:p w14:paraId="49ACC8B2" w14:textId="77777777" w:rsidR="0066370C" w:rsidRP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Inter-faith discussions and "meet your neighbour" initiatives. </w:t>
      </w:r>
    </w:p>
    <w:p w14:paraId="049C2507" w14:textId="77777777" w:rsidR="0066370C" w:rsidRP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Support for residents during the pandemic. </w:t>
      </w:r>
    </w:p>
    <w:p w14:paraId="75453CEE" w14:textId="77777777" w:rsidR="0066370C" w:rsidRP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Food and medicine deliveries to isolated residents. </w:t>
      </w:r>
    </w:p>
    <w:p w14:paraId="7C3F69EC" w14:textId="77777777" w:rsidR="0066370C" w:rsidRP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Open mosque and other faith-based events. </w:t>
      </w:r>
    </w:p>
    <w:p w14:paraId="27CF7F7E" w14:textId="77777777" w:rsidR="0066370C" w:rsidRP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Clothing and hot-meal distributions to rough sleepers. </w:t>
      </w:r>
    </w:p>
    <w:p w14:paraId="5E5AC8E2" w14:textId="77777777" w:rsidR="0066370C" w:rsidRDefault="0066370C" w:rsidP="0066370C">
      <w:pPr>
        <w:numPr>
          <w:ilvl w:val="0"/>
          <w:numId w:val="15"/>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Work to counter division and hate. </w:t>
      </w:r>
    </w:p>
    <w:p w14:paraId="03F9C1C4" w14:textId="77777777" w:rsidR="0066370C" w:rsidRPr="0066370C" w:rsidRDefault="0066370C" w:rsidP="0066370C">
      <w:pPr>
        <w:spacing w:after="0"/>
        <w:rPr>
          <w:rFonts w:ascii="Arial" w:hAnsi="Arial" w:cs="Arial"/>
          <w:color w:val="0E2841" w:themeColor="text2"/>
          <w:sz w:val="24"/>
          <w:szCs w:val="24"/>
        </w:rPr>
      </w:pPr>
    </w:p>
    <w:p w14:paraId="5BD96436"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There was a strong view that cohesive communities are better placed to respond collectively when crises or tensions arise.</w:t>
      </w:r>
    </w:p>
    <w:p w14:paraId="68DCFDB3" w14:textId="77777777" w:rsidR="0066370C" w:rsidRPr="0066370C" w:rsidRDefault="0066370C" w:rsidP="0066370C">
      <w:pPr>
        <w:spacing w:after="0"/>
        <w:rPr>
          <w:rFonts w:ascii="Arial" w:hAnsi="Arial" w:cs="Arial"/>
          <w:color w:val="0E2841" w:themeColor="text2"/>
          <w:sz w:val="24"/>
          <w:szCs w:val="24"/>
        </w:rPr>
      </w:pPr>
    </w:p>
    <w:p w14:paraId="3DE64ADA"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3. What makes faith communities distinctive?</w:t>
      </w:r>
    </w:p>
    <w:p w14:paraId="46D261DD"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Participants identified several </w:t>
      </w:r>
      <w:proofErr w:type="gramStart"/>
      <w:r w:rsidRPr="0066370C">
        <w:rPr>
          <w:rFonts w:ascii="Arial" w:hAnsi="Arial" w:cs="Arial"/>
          <w:color w:val="0E2841" w:themeColor="text2"/>
          <w:sz w:val="24"/>
          <w:szCs w:val="24"/>
        </w:rPr>
        <w:t>particular strengths</w:t>
      </w:r>
      <w:proofErr w:type="gramEnd"/>
      <w:r w:rsidRPr="0066370C">
        <w:rPr>
          <w:rFonts w:ascii="Arial" w:hAnsi="Arial" w:cs="Arial"/>
          <w:color w:val="0E2841" w:themeColor="text2"/>
          <w:sz w:val="24"/>
          <w:szCs w:val="24"/>
        </w:rPr>
        <w:t xml:space="preserve"> of faith organisations:</w:t>
      </w:r>
    </w:p>
    <w:p w14:paraId="10013EDE" w14:textId="77777777" w:rsidR="0066370C" w:rsidRP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Reach and access:</w:t>
      </w:r>
      <w:r w:rsidRPr="0066370C">
        <w:rPr>
          <w:rFonts w:ascii="Arial" w:hAnsi="Arial" w:cs="Arial"/>
          <w:color w:val="0E2841" w:themeColor="text2"/>
          <w:sz w:val="24"/>
          <w:szCs w:val="24"/>
        </w:rPr>
        <w:t xml:space="preserve"> faith leaders and places of worship have established relationships with </w:t>
      </w:r>
      <w:proofErr w:type="gramStart"/>
      <w:r w:rsidRPr="0066370C">
        <w:rPr>
          <w:rFonts w:ascii="Arial" w:hAnsi="Arial" w:cs="Arial"/>
          <w:color w:val="0E2841" w:themeColor="text2"/>
          <w:sz w:val="24"/>
          <w:szCs w:val="24"/>
        </w:rPr>
        <w:t>local residents</w:t>
      </w:r>
      <w:proofErr w:type="gramEnd"/>
      <w:r w:rsidRPr="0066370C">
        <w:rPr>
          <w:rFonts w:ascii="Arial" w:hAnsi="Arial" w:cs="Arial"/>
          <w:color w:val="0E2841" w:themeColor="text2"/>
          <w:sz w:val="24"/>
          <w:szCs w:val="24"/>
        </w:rPr>
        <w:t xml:space="preserve">. </w:t>
      </w:r>
    </w:p>
    <w:p w14:paraId="1AD58D7D" w14:textId="77777777" w:rsidR="0066370C" w:rsidRP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Trust:</w:t>
      </w:r>
      <w:r w:rsidRPr="0066370C">
        <w:rPr>
          <w:rFonts w:ascii="Arial" w:hAnsi="Arial" w:cs="Arial"/>
          <w:color w:val="0E2841" w:themeColor="text2"/>
          <w:sz w:val="24"/>
          <w:szCs w:val="24"/>
        </w:rPr>
        <w:t xml:space="preserve"> people may be more willing to discuss personal concerns with trusted faith leaders than with statutory services. </w:t>
      </w:r>
    </w:p>
    <w:p w14:paraId="0DA1A8CA" w14:textId="77777777" w:rsidR="0066370C" w:rsidRP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Belonging:</w:t>
      </w:r>
      <w:r w:rsidRPr="0066370C">
        <w:rPr>
          <w:rFonts w:ascii="Arial" w:hAnsi="Arial" w:cs="Arial"/>
          <w:color w:val="0E2841" w:themeColor="text2"/>
          <w:sz w:val="24"/>
          <w:szCs w:val="24"/>
        </w:rPr>
        <w:t xml:space="preserve"> faith settings can provide a strong sense of family, community and belonging. </w:t>
      </w:r>
    </w:p>
    <w:p w14:paraId="0DD4FF97" w14:textId="77777777" w:rsidR="0066370C" w:rsidRP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Voluntary commitment:</w:t>
      </w:r>
      <w:r w:rsidRPr="0066370C">
        <w:rPr>
          <w:rFonts w:ascii="Arial" w:hAnsi="Arial" w:cs="Arial"/>
          <w:color w:val="0E2841" w:themeColor="text2"/>
          <w:sz w:val="24"/>
          <w:szCs w:val="24"/>
        </w:rPr>
        <w:t xml:space="preserve"> faith organisations often provide support outside conventional working hours. </w:t>
      </w:r>
    </w:p>
    <w:p w14:paraId="3F5DEBCB" w14:textId="77777777" w:rsidR="0066370C" w:rsidRP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A whole-person approach:</w:t>
      </w:r>
      <w:r w:rsidRPr="0066370C">
        <w:rPr>
          <w:rFonts w:ascii="Arial" w:hAnsi="Arial" w:cs="Arial"/>
          <w:color w:val="0E2841" w:themeColor="text2"/>
          <w:sz w:val="24"/>
          <w:szCs w:val="24"/>
        </w:rPr>
        <w:t xml:space="preserve"> faith communities tend to consider people and communities more broadly rather than focusing on a single issue. </w:t>
      </w:r>
    </w:p>
    <w:p w14:paraId="112B9D78" w14:textId="77777777" w:rsidR="0066370C" w:rsidRDefault="0066370C" w:rsidP="0066370C">
      <w:pPr>
        <w:numPr>
          <w:ilvl w:val="0"/>
          <w:numId w:val="16"/>
        </w:numPr>
        <w:spacing w:after="0"/>
        <w:rPr>
          <w:rFonts w:ascii="Arial" w:hAnsi="Arial" w:cs="Arial"/>
          <w:color w:val="0E2841" w:themeColor="text2"/>
          <w:sz w:val="24"/>
          <w:szCs w:val="24"/>
        </w:rPr>
      </w:pPr>
      <w:r w:rsidRPr="0066370C">
        <w:rPr>
          <w:rFonts w:ascii="Arial" w:hAnsi="Arial" w:cs="Arial"/>
          <w:b/>
          <w:bCs/>
          <w:color w:val="0E2841" w:themeColor="text2"/>
          <w:sz w:val="24"/>
          <w:szCs w:val="24"/>
        </w:rPr>
        <w:t xml:space="preserve">Motivation to </w:t>
      </w:r>
      <w:proofErr w:type="gramStart"/>
      <w:r w:rsidRPr="0066370C">
        <w:rPr>
          <w:rFonts w:ascii="Arial" w:hAnsi="Arial" w:cs="Arial"/>
          <w:b/>
          <w:bCs/>
          <w:color w:val="0E2841" w:themeColor="text2"/>
          <w:sz w:val="24"/>
          <w:szCs w:val="24"/>
        </w:rPr>
        <w:t>serve:</w:t>
      </w:r>
      <w:proofErr w:type="gramEnd"/>
      <w:r w:rsidRPr="0066370C">
        <w:rPr>
          <w:rFonts w:ascii="Arial" w:hAnsi="Arial" w:cs="Arial"/>
          <w:color w:val="0E2841" w:themeColor="text2"/>
          <w:sz w:val="24"/>
          <w:szCs w:val="24"/>
        </w:rPr>
        <w:t xml:space="preserve"> religious beliefs can provide a strong motivation for charitable and community work. </w:t>
      </w:r>
    </w:p>
    <w:p w14:paraId="39355D72" w14:textId="77777777" w:rsidR="0066370C" w:rsidRPr="0066370C" w:rsidRDefault="0066370C" w:rsidP="0066370C">
      <w:pPr>
        <w:spacing w:after="0"/>
        <w:rPr>
          <w:rFonts w:ascii="Arial" w:hAnsi="Arial" w:cs="Arial"/>
          <w:color w:val="0E2841" w:themeColor="text2"/>
          <w:sz w:val="24"/>
          <w:szCs w:val="24"/>
        </w:rPr>
      </w:pPr>
    </w:p>
    <w:p w14:paraId="5144CC73"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Examples included faith leaders supporting health initiatives, encouraging vaccination, providing health checks and opening places of worship to people of all faiths and none.</w:t>
      </w:r>
    </w:p>
    <w:p w14:paraId="1F33EBBD" w14:textId="77777777" w:rsidR="0066370C" w:rsidRPr="0066370C" w:rsidRDefault="0066370C" w:rsidP="0066370C">
      <w:pPr>
        <w:spacing w:after="0"/>
        <w:rPr>
          <w:rFonts w:ascii="Arial" w:hAnsi="Arial" w:cs="Arial"/>
          <w:color w:val="0E2841" w:themeColor="text2"/>
          <w:sz w:val="24"/>
          <w:szCs w:val="24"/>
        </w:rPr>
      </w:pPr>
    </w:p>
    <w:p w14:paraId="57643908"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4. Barriers to effective engagement</w:t>
      </w:r>
    </w:p>
    <w:p w14:paraId="3AECDF45"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Several barriers were identified.</w:t>
      </w:r>
    </w:p>
    <w:p w14:paraId="17BDA148" w14:textId="77777777" w:rsidR="0066370C" w:rsidRPr="0066370C" w:rsidRDefault="0066370C" w:rsidP="0066370C">
      <w:pPr>
        <w:spacing w:after="0"/>
        <w:rPr>
          <w:rFonts w:ascii="Arial" w:hAnsi="Arial" w:cs="Arial"/>
          <w:color w:val="0E2841" w:themeColor="text2"/>
          <w:sz w:val="24"/>
          <w:szCs w:val="24"/>
        </w:rPr>
      </w:pPr>
    </w:p>
    <w:p w14:paraId="2C3E1B1B"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Accessibility:</w:t>
      </w:r>
      <w:r w:rsidRPr="0066370C">
        <w:rPr>
          <w:rFonts w:ascii="Arial" w:hAnsi="Arial" w:cs="Arial"/>
          <w:color w:val="0E2841" w:themeColor="text2"/>
          <w:sz w:val="24"/>
          <w:szCs w:val="24"/>
        </w:rPr>
        <w:t xml:space="preserve"> Some council offices and consultation arrangements can feel intimidating, particularly for people unfamiliar with formal institutional settings.</w:t>
      </w:r>
    </w:p>
    <w:p w14:paraId="65A2A7C2"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Awareness:</w:t>
      </w:r>
      <w:r w:rsidRPr="0066370C">
        <w:rPr>
          <w:rFonts w:ascii="Arial" w:hAnsi="Arial" w:cs="Arial"/>
          <w:color w:val="0E2841" w:themeColor="text2"/>
          <w:sz w:val="24"/>
          <w:szCs w:val="24"/>
        </w:rPr>
        <w:t xml:space="preserve"> Faith groups do not always know when consultations are taking place or why their contribution is particularly relevant.</w:t>
      </w:r>
    </w:p>
    <w:p w14:paraId="2C0AAC39"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Representation:</w:t>
      </w:r>
      <w:r w:rsidRPr="0066370C">
        <w:rPr>
          <w:rFonts w:ascii="Arial" w:hAnsi="Arial" w:cs="Arial"/>
          <w:color w:val="0E2841" w:themeColor="text2"/>
          <w:sz w:val="24"/>
          <w:szCs w:val="24"/>
        </w:rPr>
        <w:t xml:space="preserve"> Some faith groups are missing from THIFF and other engagement structures. Participants stressed that the existing forum should not claim to represent every faith community.</w:t>
      </w:r>
    </w:p>
    <w:p w14:paraId="307DCC04"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Capacity:</w:t>
      </w:r>
      <w:r w:rsidRPr="0066370C">
        <w:rPr>
          <w:rFonts w:ascii="Arial" w:hAnsi="Arial" w:cs="Arial"/>
          <w:color w:val="0E2841" w:themeColor="text2"/>
          <w:sz w:val="24"/>
          <w:szCs w:val="24"/>
        </w:rPr>
        <w:t xml:space="preserve"> Smaller organisations may lack the time and resources to participate consistently.</w:t>
      </w:r>
    </w:p>
    <w:p w14:paraId="65088FF7"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Continuity:</w:t>
      </w:r>
      <w:r w:rsidRPr="0066370C">
        <w:rPr>
          <w:rFonts w:ascii="Arial" w:hAnsi="Arial" w:cs="Arial"/>
          <w:color w:val="0E2841" w:themeColor="text2"/>
          <w:sz w:val="24"/>
          <w:szCs w:val="24"/>
        </w:rPr>
        <w:t xml:space="preserve"> Changes in council staff can cause relationships to be lost, meaning organisations </w:t>
      </w:r>
      <w:proofErr w:type="gramStart"/>
      <w:r w:rsidRPr="0066370C">
        <w:rPr>
          <w:rFonts w:ascii="Arial" w:hAnsi="Arial" w:cs="Arial"/>
          <w:color w:val="0E2841" w:themeColor="text2"/>
          <w:sz w:val="24"/>
          <w:szCs w:val="24"/>
        </w:rPr>
        <w:t>have to</w:t>
      </w:r>
      <w:proofErr w:type="gramEnd"/>
      <w:r w:rsidRPr="0066370C">
        <w:rPr>
          <w:rFonts w:ascii="Arial" w:hAnsi="Arial" w:cs="Arial"/>
          <w:color w:val="0E2841" w:themeColor="text2"/>
          <w:sz w:val="24"/>
          <w:szCs w:val="24"/>
        </w:rPr>
        <w:t xml:space="preserve"> rebuild connections repeatedly.</w:t>
      </w:r>
    </w:p>
    <w:p w14:paraId="1487E0C2"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t>Trust:</w:t>
      </w:r>
      <w:r w:rsidRPr="0066370C">
        <w:rPr>
          <w:rFonts w:ascii="Arial" w:hAnsi="Arial" w:cs="Arial"/>
          <w:color w:val="0E2841" w:themeColor="text2"/>
          <w:sz w:val="24"/>
          <w:szCs w:val="24"/>
        </w:rPr>
        <w:t xml:space="preserve"> Historical experiences can create mistrust of statutory services.</w:t>
      </w:r>
    </w:p>
    <w:p w14:paraId="3BC626C7" w14:textId="77777777" w:rsidR="0066370C" w:rsidRDefault="0066370C" w:rsidP="0066370C">
      <w:pPr>
        <w:spacing w:after="0"/>
        <w:rPr>
          <w:rFonts w:ascii="Arial" w:hAnsi="Arial" w:cs="Arial"/>
          <w:color w:val="0E2841" w:themeColor="text2"/>
          <w:sz w:val="24"/>
          <w:szCs w:val="24"/>
        </w:rPr>
      </w:pPr>
      <w:r w:rsidRPr="0066370C">
        <w:rPr>
          <w:rFonts w:ascii="Arial" w:hAnsi="Arial" w:cs="Arial"/>
          <w:b/>
          <w:bCs/>
          <w:color w:val="0E2841" w:themeColor="text2"/>
          <w:sz w:val="24"/>
          <w:szCs w:val="24"/>
        </w:rPr>
        <w:lastRenderedPageBreak/>
        <w:t>One-way consultation:</w:t>
      </w:r>
      <w:r w:rsidRPr="0066370C">
        <w:rPr>
          <w:rFonts w:ascii="Arial" w:hAnsi="Arial" w:cs="Arial"/>
          <w:color w:val="0E2841" w:themeColor="text2"/>
          <w:sz w:val="24"/>
          <w:szCs w:val="24"/>
        </w:rPr>
        <w:t xml:space="preserve"> A recurring concern was that consultation can feel like an organisation is simply extracting information rather than </w:t>
      </w:r>
      <w:proofErr w:type="gramStart"/>
      <w:r w:rsidRPr="0066370C">
        <w:rPr>
          <w:rFonts w:ascii="Arial" w:hAnsi="Arial" w:cs="Arial"/>
          <w:color w:val="0E2841" w:themeColor="text2"/>
          <w:sz w:val="24"/>
          <w:szCs w:val="24"/>
        </w:rPr>
        <w:t>entering into</w:t>
      </w:r>
      <w:proofErr w:type="gramEnd"/>
      <w:r w:rsidRPr="0066370C">
        <w:rPr>
          <w:rFonts w:ascii="Arial" w:hAnsi="Arial" w:cs="Arial"/>
          <w:color w:val="0E2841" w:themeColor="text2"/>
          <w:sz w:val="24"/>
          <w:szCs w:val="24"/>
        </w:rPr>
        <w:t xml:space="preserve"> a genuine partnership.</w:t>
      </w:r>
    </w:p>
    <w:p w14:paraId="3DA638C5" w14:textId="77777777" w:rsidR="0066370C" w:rsidRPr="0066370C" w:rsidRDefault="0066370C" w:rsidP="0066370C">
      <w:pPr>
        <w:spacing w:after="0"/>
        <w:rPr>
          <w:rFonts w:ascii="Arial" w:hAnsi="Arial" w:cs="Arial"/>
          <w:color w:val="0E2841" w:themeColor="text2"/>
          <w:sz w:val="24"/>
          <w:szCs w:val="24"/>
        </w:rPr>
      </w:pPr>
    </w:p>
    <w:p w14:paraId="3BCA71E4"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5. Improving consultation</w:t>
      </w:r>
    </w:p>
    <w:p w14:paraId="60800A3F"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Participants argued that consultation should become more </w:t>
      </w:r>
      <w:r w:rsidRPr="0066370C">
        <w:rPr>
          <w:rFonts w:ascii="Arial" w:hAnsi="Arial" w:cs="Arial"/>
          <w:b/>
          <w:bCs/>
          <w:color w:val="0E2841" w:themeColor="text2"/>
          <w:sz w:val="24"/>
          <w:szCs w:val="24"/>
        </w:rPr>
        <w:t>two-way, relational and collaborative</w:t>
      </w:r>
      <w:r w:rsidRPr="0066370C">
        <w:rPr>
          <w:rFonts w:ascii="Arial" w:hAnsi="Arial" w:cs="Arial"/>
          <w:color w:val="0E2841" w:themeColor="text2"/>
          <w:sz w:val="24"/>
          <w:szCs w:val="24"/>
        </w:rPr>
        <w:t>.</w:t>
      </w:r>
    </w:p>
    <w:p w14:paraId="0481ADD8" w14:textId="77777777" w:rsidR="0066370C" w:rsidRDefault="0066370C" w:rsidP="0066370C">
      <w:pPr>
        <w:spacing w:after="0"/>
        <w:rPr>
          <w:rFonts w:ascii="Arial" w:hAnsi="Arial" w:cs="Arial"/>
          <w:color w:val="0E2841" w:themeColor="text2"/>
          <w:sz w:val="24"/>
          <w:szCs w:val="24"/>
        </w:rPr>
      </w:pPr>
    </w:p>
    <w:p w14:paraId="2B160B99" w14:textId="64AE0EFB"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Suggestions included:</w:t>
      </w:r>
    </w:p>
    <w:p w14:paraId="07C7B7F7"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Providing clear feedback on what happened </w:t>
      </w:r>
      <w:proofErr w:type="gramStart"/>
      <w:r w:rsidRPr="0066370C">
        <w:rPr>
          <w:rFonts w:ascii="Arial" w:hAnsi="Arial" w:cs="Arial"/>
          <w:color w:val="0E2841" w:themeColor="text2"/>
          <w:sz w:val="24"/>
          <w:szCs w:val="24"/>
        </w:rPr>
        <w:t>as a result of</w:t>
      </w:r>
      <w:proofErr w:type="gramEnd"/>
      <w:r w:rsidRPr="0066370C">
        <w:rPr>
          <w:rFonts w:ascii="Arial" w:hAnsi="Arial" w:cs="Arial"/>
          <w:color w:val="0E2841" w:themeColor="text2"/>
          <w:sz w:val="24"/>
          <w:szCs w:val="24"/>
        </w:rPr>
        <w:t xml:space="preserve"> people's contributions. </w:t>
      </w:r>
    </w:p>
    <w:p w14:paraId="13E927DE"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Explaining why a particular faith community's input is important. </w:t>
      </w:r>
    </w:p>
    <w:p w14:paraId="72AB3EC5"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Using places of worship as consultation venues. </w:t>
      </w:r>
    </w:p>
    <w:p w14:paraId="2E940494"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Holding events in accessible local locations. </w:t>
      </w:r>
    </w:p>
    <w:p w14:paraId="7F8062BA"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Bringing different equality groups together. </w:t>
      </w:r>
    </w:p>
    <w:p w14:paraId="7B5865EA"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Providing recognition or modest financial compensation for people's time. </w:t>
      </w:r>
    </w:p>
    <w:p w14:paraId="094AB507"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Developing more opportunities for dialogue rather than simply collecting responses. </w:t>
      </w:r>
    </w:p>
    <w:p w14:paraId="120F7A21" w14:textId="77777777" w:rsidR="0066370C" w:rsidRP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Involving faith representatives earlier in the process, including </w:t>
      </w:r>
      <w:r w:rsidRPr="0066370C">
        <w:rPr>
          <w:rFonts w:ascii="Arial" w:hAnsi="Arial" w:cs="Arial"/>
          <w:b/>
          <w:bCs/>
          <w:color w:val="0E2841" w:themeColor="text2"/>
          <w:sz w:val="24"/>
          <w:szCs w:val="24"/>
        </w:rPr>
        <w:t>co-design and co-production</w:t>
      </w:r>
      <w:r w:rsidRPr="0066370C">
        <w:rPr>
          <w:rFonts w:ascii="Arial" w:hAnsi="Arial" w:cs="Arial"/>
          <w:color w:val="0E2841" w:themeColor="text2"/>
          <w:sz w:val="24"/>
          <w:szCs w:val="24"/>
        </w:rPr>
        <w:t xml:space="preserve"> rather than presenting them with completed proposals. </w:t>
      </w:r>
    </w:p>
    <w:p w14:paraId="2569BE16" w14:textId="77777777" w:rsidR="0066370C" w:rsidRDefault="0066370C" w:rsidP="0066370C">
      <w:pPr>
        <w:numPr>
          <w:ilvl w:val="0"/>
          <w:numId w:val="17"/>
        </w:numPr>
        <w:spacing w:after="0"/>
        <w:rPr>
          <w:rFonts w:ascii="Arial" w:hAnsi="Arial" w:cs="Arial"/>
          <w:color w:val="0E2841" w:themeColor="text2"/>
          <w:sz w:val="24"/>
          <w:szCs w:val="24"/>
        </w:rPr>
      </w:pPr>
      <w:r w:rsidRPr="0066370C">
        <w:rPr>
          <w:rFonts w:ascii="Arial" w:hAnsi="Arial" w:cs="Arial"/>
          <w:color w:val="0E2841" w:themeColor="text2"/>
          <w:sz w:val="24"/>
          <w:szCs w:val="24"/>
        </w:rPr>
        <w:t>Maintaining relationships and continuity between council officers and community organisations.</w:t>
      </w:r>
    </w:p>
    <w:p w14:paraId="76CCFA62" w14:textId="3B1811A5"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 </w:t>
      </w:r>
    </w:p>
    <w:p w14:paraId="30AE7CDC"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particularly strong message was that people need to feel </w:t>
      </w:r>
      <w:r w:rsidRPr="0066370C">
        <w:rPr>
          <w:rFonts w:ascii="Arial" w:hAnsi="Arial" w:cs="Arial"/>
          <w:b/>
          <w:bCs/>
          <w:color w:val="0E2841" w:themeColor="text2"/>
          <w:sz w:val="24"/>
          <w:szCs w:val="24"/>
        </w:rPr>
        <w:t>valued, respected and listened to</w:t>
      </w:r>
      <w:r w:rsidRPr="0066370C">
        <w:rPr>
          <w:rFonts w:ascii="Arial" w:hAnsi="Arial" w:cs="Arial"/>
          <w:color w:val="0E2841" w:themeColor="text2"/>
          <w:sz w:val="24"/>
          <w:szCs w:val="24"/>
        </w:rPr>
        <w:t>, rather than feeling that their participation is merely "box ticking".</w:t>
      </w:r>
    </w:p>
    <w:p w14:paraId="2AE94D2E" w14:textId="77777777" w:rsidR="0066370C" w:rsidRPr="0066370C" w:rsidRDefault="0066370C" w:rsidP="0066370C">
      <w:pPr>
        <w:spacing w:after="0"/>
        <w:rPr>
          <w:rFonts w:ascii="Arial" w:hAnsi="Arial" w:cs="Arial"/>
          <w:color w:val="0E2841" w:themeColor="text2"/>
          <w:sz w:val="24"/>
          <w:szCs w:val="24"/>
        </w:rPr>
      </w:pPr>
    </w:p>
    <w:p w14:paraId="30F8D61F"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6. Representation and diversity</w:t>
      </w:r>
    </w:p>
    <w:p w14:paraId="553B20B4"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Participants recognised that Tower Hamlets has a very diverse population, with many languages and a range of faith and non-faith communities. There was concern that relying on the </w:t>
      </w:r>
      <w:r w:rsidRPr="0066370C">
        <w:rPr>
          <w:rFonts w:ascii="Arial" w:hAnsi="Arial" w:cs="Arial"/>
          <w:b/>
          <w:bCs/>
          <w:color w:val="0E2841" w:themeColor="text2"/>
          <w:sz w:val="24"/>
          <w:szCs w:val="24"/>
        </w:rPr>
        <w:t>"usual suspects"</w:t>
      </w:r>
      <w:r w:rsidRPr="0066370C">
        <w:rPr>
          <w:rFonts w:ascii="Arial" w:hAnsi="Arial" w:cs="Arial"/>
          <w:color w:val="0E2841" w:themeColor="text2"/>
          <w:sz w:val="24"/>
          <w:szCs w:val="24"/>
        </w:rPr>
        <w:t xml:space="preserve"> risks excluding less visible or less well-resourced groups.</w:t>
      </w:r>
    </w:p>
    <w:p w14:paraId="7DEF4A4F" w14:textId="77777777" w:rsidR="0066370C" w:rsidRPr="0066370C" w:rsidRDefault="0066370C" w:rsidP="0066370C">
      <w:pPr>
        <w:spacing w:after="0"/>
        <w:rPr>
          <w:rFonts w:ascii="Arial" w:hAnsi="Arial" w:cs="Arial"/>
          <w:color w:val="0E2841" w:themeColor="text2"/>
          <w:sz w:val="24"/>
          <w:szCs w:val="24"/>
        </w:rPr>
      </w:pPr>
    </w:p>
    <w:p w14:paraId="58627121"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The council was encouraged to take a more proactive approach to identifying and engaging communities that are not currently represented.</w:t>
      </w:r>
    </w:p>
    <w:p w14:paraId="3EED8BE6" w14:textId="77777777" w:rsidR="0066370C" w:rsidRPr="0066370C" w:rsidRDefault="0066370C" w:rsidP="0066370C">
      <w:pPr>
        <w:spacing w:after="0"/>
        <w:rPr>
          <w:rFonts w:ascii="Arial" w:hAnsi="Arial" w:cs="Arial"/>
          <w:color w:val="0E2841" w:themeColor="text2"/>
          <w:sz w:val="24"/>
          <w:szCs w:val="24"/>
        </w:rPr>
      </w:pPr>
    </w:p>
    <w:p w14:paraId="539AF3BA"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7. Council developments and commitments</w:t>
      </w:r>
    </w:p>
    <w:p w14:paraId="7A850042" w14:textId="11461CBA"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Zaid </w:t>
      </w:r>
      <w:r>
        <w:rPr>
          <w:rFonts w:ascii="Arial" w:hAnsi="Arial" w:cs="Arial"/>
          <w:color w:val="0E2841" w:themeColor="text2"/>
          <w:sz w:val="24"/>
          <w:szCs w:val="24"/>
        </w:rPr>
        <w:t xml:space="preserve">ul-Islam, Senior Strategy and Policy Officer, Tower Hamlets Council, </w:t>
      </w:r>
      <w:r w:rsidRPr="0066370C">
        <w:rPr>
          <w:rFonts w:ascii="Arial" w:hAnsi="Arial" w:cs="Arial"/>
          <w:color w:val="0E2841" w:themeColor="text2"/>
          <w:sz w:val="24"/>
          <w:szCs w:val="24"/>
        </w:rPr>
        <w:t>outlined several changes already being introduced following previous community engagement work, including:</w:t>
      </w:r>
    </w:p>
    <w:p w14:paraId="5B67CE13" w14:textId="77777777" w:rsidR="0066370C" w:rsidRP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w:t>
      </w:r>
      <w:r w:rsidRPr="0066370C">
        <w:rPr>
          <w:rFonts w:ascii="Arial" w:hAnsi="Arial" w:cs="Arial"/>
          <w:b/>
          <w:bCs/>
          <w:color w:val="0E2841" w:themeColor="text2"/>
          <w:sz w:val="24"/>
          <w:szCs w:val="24"/>
        </w:rPr>
        <w:t>rewards and recognition policy</w:t>
      </w:r>
      <w:r w:rsidRPr="0066370C">
        <w:rPr>
          <w:rFonts w:ascii="Arial" w:hAnsi="Arial" w:cs="Arial"/>
          <w:color w:val="0E2841" w:themeColor="text2"/>
          <w:sz w:val="24"/>
          <w:szCs w:val="24"/>
        </w:rPr>
        <w:t xml:space="preserve">, including vouchers for participation. </w:t>
      </w:r>
    </w:p>
    <w:p w14:paraId="38599089" w14:textId="77777777" w:rsidR="0066370C" w:rsidRP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w:t>
      </w:r>
      <w:r w:rsidRPr="0066370C">
        <w:rPr>
          <w:rFonts w:ascii="Arial" w:hAnsi="Arial" w:cs="Arial"/>
          <w:b/>
          <w:bCs/>
          <w:color w:val="0E2841" w:themeColor="text2"/>
          <w:sz w:val="24"/>
          <w:szCs w:val="24"/>
        </w:rPr>
        <w:t>resident engagement toolkit</w:t>
      </w:r>
      <w:r w:rsidRPr="0066370C">
        <w:rPr>
          <w:rFonts w:ascii="Arial" w:hAnsi="Arial" w:cs="Arial"/>
          <w:color w:val="0E2841" w:themeColor="text2"/>
          <w:sz w:val="24"/>
          <w:szCs w:val="24"/>
        </w:rPr>
        <w:t xml:space="preserve"> for council staff. </w:t>
      </w:r>
    </w:p>
    <w:p w14:paraId="5F0AA53E" w14:textId="77777777" w:rsidR="0066370C" w:rsidRP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youth-focused engagement approach. </w:t>
      </w:r>
    </w:p>
    <w:p w14:paraId="367234AF" w14:textId="77777777" w:rsidR="0066370C" w:rsidRP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new consultation platform, </w:t>
      </w:r>
      <w:r w:rsidRPr="0066370C">
        <w:rPr>
          <w:rFonts w:ascii="Arial" w:hAnsi="Arial" w:cs="Arial"/>
          <w:b/>
          <w:bCs/>
          <w:color w:val="0E2841" w:themeColor="text2"/>
          <w:sz w:val="24"/>
          <w:szCs w:val="24"/>
        </w:rPr>
        <w:t>Go Local</w:t>
      </w:r>
      <w:r w:rsidRPr="0066370C">
        <w:rPr>
          <w:rFonts w:ascii="Arial" w:hAnsi="Arial" w:cs="Arial"/>
          <w:color w:val="0E2841" w:themeColor="text2"/>
          <w:sz w:val="24"/>
          <w:szCs w:val="24"/>
        </w:rPr>
        <w:t xml:space="preserve">, replacing Let's Talk Tower Hamlets. </w:t>
      </w:r>
    </w:p>
    <w:p w14:paraId="565BEC66" w14:textId="77777777" w:rsidR="0066370C" w:rsidRP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A "you </w:t>
      </w:r>
      <w:proofErr w:type="gramStart"/>
      <w:r w:rsidRPr="0066370C">
        <w:rPr>
          <w:rFonts w:ascii="Arial" w:hAnsi="Arial" w:cs="Arial"/>
          <w:color w:val="0E2841" w:themeColor="text2"/>
          <w:sz w:val="24"/>
          <w:szCs w:val="24"/>
        </w:rPr>
        <w:t>said,</w:t>
      </w:r>
      <w:proofErr w:type="gramEnd"/>
      <w:r w:rsidRPr="0066370C">
        <w:rPr>
          <w:rFonts w:ascii="Arial" w:hAnsi="Arial" w:cs="Arial"/>
          <w:color w:val="0E2841" w:themeColor="text2"/>
          <w:sz w:val="24"/>
          <w:szCs w:val="24"/>
        </w:rPr>
        <w:t xml:space="preserve"> we did" feature intended to show how residents' contributions have influenced outcomes. </w:t>
      </w:r>
    </w:p>
    <w:p w14:paraId="1F88E231" w14:textId="77777777" w:rsidR="0066370C" w:rsidRDefault="0066370C" w:rsidP="0066370C">
      <w:pPr>
        <w:numPr>
          <w:ilvl w:val="0"/>
          <w:numId w:val="18"/>
        </w:num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Work towards a more consistent approach to consultation across the council. </w:t>
      </w:r>
    </w:p>
    <w:p w14:paraId="04F60287" w14:textId="77777777" w:rsidR="00823ABD" w:rsidRPr="0066370C" w:rsidRDefault="00823ABD" w:rsidP="00823ABD">
      <w:pPr>
        <w:spacing w:after="0"/>
        <w:rPr>
          <w:rFonts w:ascii="Arial" w:hAnsi="Arial" w:cs="Arial"/>
          <w:color w:val="0E2841" w:themeColor="text2"/>
          <w:sz w:val="24"/>
          <w:szCs w:val="24"/>
        </w:rPr>
      </w:pPr>
    </w:p>
    <w:p w14:paraId="615A432C"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It was acknowledged that some of the suggestions raised during this session had </w:t>
      </w:r>
      <w:r w:rsidRPr="0066370C">
        <w:rPr>
          <w:rFonts w:ascii="Arial" w:hAnsi="Arial" w:cs="Arial"/>
          <w:b/>
          <w:bCs/>
          <w:color w:val="0E2841" w:themeColor="text2"/>
          <w:sz w:val="24"/>
          <w:szCs w:val="24"/>
        </w:rPr>
        <w:t>not yet been implemented</w:t>
      </w:r>
      <w:r w:rsidRPr="0066370C">
        <w:rPr>
          <w:rFonts w:ascii="Arial" w:hAnsi="Arial" w:cs="Arial"/>
          <w:color w:val="0E2841" w:themeColor="text2"/>
          <w:sz w:val="24"/>
          <w:szCs w:val="24"/>
        </w:rPr>
        <w:t>, but that the feedback would be taken back to council colleagues.</w:t>
      </w:r>
    </w:p>
    <w:p w14:paraId="6314CC52" w14:textId="77777777" w:rsidR="0066370C" w:rsidRPr="0066370C" w:rsidRDefault="0066370C" w:rsidP="0066370C">
      <w:pPr>
        <w:spacing w:after="0"/>
        <w:rPr>
          <w:rFonts w:ascii="Arial" w:hAnsi="Arial" w:cs="Arial"/>
          <w:color w:val="0E2841" w:themeColor="text2"/>
          <w:sz w:val="24"/>
          <w:szCs w:val="24"/>
        </w:rPr>
      </w:pPr>
    </w:p>
    <w:p w14:paraId="5ECFD2DD" w14:textId="77777777"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8. Faith Covenant and future engagement</w:t>
      </w:r>
    </w:p>
    <w:p w14:paraId="65D946FE"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The meeting also discussed the </w:t>
      </w:r>
      <w:r w:rsidRPr="0066370C">
        <w:rPr>
          <w:rFonts w:ascii="Arial" w:hAnsi="Arial" w:cs="Arial"/>
          <w:b/>
          <w:bCs/>
          <w:color w:val="0E2841" w:themeColor="text2"/>
          <w:sz w:val="24"/>
          <w:szCs w:val="24"/>
        </w:rPr>
        <w:t>Faith Covenant</w:t>
      </w:r>
      <w:r w:rsidRPr="0066370C">
        <w:rPr>
          <w:rFonts w:ascii="Arial" w:hAnsi="Arial" w:cs="Arial"/>
          <w:color w:val="0E2841" w:themeColor="text2"/>
          <w:sz w:val="24"/>
          <w:szCs w:val="24"/>
        </w:rPr>
        <w:t>, noting that Tower Hamlets had not yet signed one and that there was interest in pursuing this through FaithAction.</w:t>
      </w:r>
    </w:p>
    <w:p w14:paraId="6BEC3598" w14:textId="77777777" w:rsidR="0066370C" w:rsidRPr="0066370C" w:rsidRDefault="0066370C" w:rsidP="0066370C">
      <w:pPr>
        <w:spacing w:after="0"/>
        <w:rPr>
          <w:rFonts w:ascii="Arial" w:hAnsi="Arial" w:cs="Arial"/>
          <w:color w:val="0E2841" w:themeColor="text2"/>
          <w:sz w:val="24"/>
          <w:szCs w:val="24"/>
        </w:rPr>
      </w:pPr>
    </w:p>
    <w:p w14:paraId="5B856EE4"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lastRenderedPageBreak/>
        <w:t>There was also support for greater senior political and council involvement in faith-community engagement, with the view that visible participation by senior representatives could demonstrate the importance attached to these relationships.</w:t>
      </w:r>
    </w:p>
    <w:p w14:paraId="089F72B5" w14:textId="77777777" w:rsidR="0066370C" w:rsidRDefault="0066370C" w:rsidP="0066370C">
      <w:pPr>
        <w:spacing w:after="0"/>
        <w:rPr>
          <w:rFonts w:ascii="Arial" w:hAnsi="Arial" w:cs="Arial"/>
          <w:b/>
          <w:bCs/>
          <w:color w:val="0E2841" w:themeColor="text2"/>
          <w:sz w:val="24"/>
          <w:szCs w:val="24"/>
        </w:rPr>
      </w:pPr>
    </w:p>
    <w:p w14:paraId="28FBFAE5" w14:textId="2FEF410E" w:rsidR="0066370C" w:rsidRPr="0066370C" w:rsidRDefault="0066370C" w:rsidP="0066370C">
      <w:pPr>
        <w:spacing w:after="0"/>
        <w:rPr>
          <w:rFonts w:ascii="Arial" w:hAnsi="Arial" w:cs="Arial"/>
          <w:b/>
          <w:bCs/>
          <w:color w:val="0E2841" w:themeColor="text2"/>
          <w:sz w:val="24"/>
          <w:szCs w:val="24"/>
        </w:rPr>
      </w:pPr>
      <w:r w:rsidRPr="0066370C">
        <w:rPr>
          <w:rFonts w:ascii="Arial" w:hAnsi="Arial" w:cs="Arial"/>
          <w:b/>
          <w:bCs/>
          <w:color w:val="0E2841" w:themeColor="text2"/>
          <w:sz w:val="24"/>
          <w:szCs w:val="24"/>
        </w:rPr>
        <w:t>Overall conclusion</w:t>
      </w:r>
    </w:p>
    <w:p w14:paraId="65D4E367" w14:textId="77777777" w:rsid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The discussion highlighted a desire to move from </w:t>
      </w:r>
      <w:r w:rsidRPr="0066370C">
        <w:rPr>
          <w:rFonts w:ascii="Arial" w:hAnsi="Arial" w:cs="Arial"/>
          <w:b/>
          <w:bCs/>
          <w:color w:val="0E2841" w:themeColor="text2"/>
          <w:sz w:val="24"/>
          <w:szCs w:val="24"/>
        </w:rPr>
        <w:t>transactional consultation to genuine partnership</w:t>
      </w:r>
      <w:r w:rsidRPr="0066370C">
        <w:rPr>
          <w:rFonts w:ascii="Arial" w:hAnsi="Arial" w:cs="Arial"/>
          <w:color w:val="0E2841" w:themeColor="text2"/>
          <w:sz w:val="24"/>
          <w:szCs w:val="24"/>
        </w:rPr>
        <w:t xml:space="preserve"> between faith communities and statutory services. Faith organisations see themselves as valuable sources of community intelligence, trust, reach and practical support, but want their contribution to be recognised and acted upon.</w:t>
      </w:r>
    </w:p>
    <w:p w14:paraId="7099106D" w14:textId="77777777" w:rsidR="0066370C" w:rsidRPr="0066370C" w:rsidRDefault="0066370C" w:rsidP="0066370C">
      <w:pPr>
        <w:spacing w:after="0"/>
        <w:rPr>
          <w:rFonts w:ascii="Arial" w:hAnsi="Arial" w:cs="Arial"/>
          <w:color w:val="0E2841" w:themeColor="text2"/>
          <w:sz w:val="24"/>
          <w:szCs w:val="24"/>
        </w:rPr>
      </w:pPr>
    </w:p>
    <w:p w14:paraId="3324D9CF" w14:textId="77777777" w:rsidR="0066370C" w:rsidRPr="0066370C" w:rsidRDefault="0066370C" w:rsidP="0066370C">
      <w:pPr>
        <w:spacing w:after="0"/>
        <w:rPr>
          <w:rFonts w:ascii="Arial" w:hAnsi="Arial" w:cs="Arial"/>
          <w:color w:val="0E2841" w:themeColor="text2"/>
          <w:sz w:val="24"/>
          <w:szCs w:val="24"/>
        </w:rPr>
      </w:pPr>
      <w:r w:rsidRPr="0066370C">
        <w:rPr>
          <w:rFonts w:ascii="Arial" w:hAnsi="Arial" w:cs="Arial"/>
          <w:color w:val="0E2841" w:themeColor="text2"/>
          <w:sz w:val="24"/>
          <w:szCs w:val="24"/>
        </w:rPr>
        <w:t xml:space="preserve">The final point was that the </w:t>
      </w:r>
      <w:r w:rsidRPr="0066370C">
        <w:rPr>
          <w:rFonts w:ascii="Arial" w:hAnsi="Arial" w:cs="Arial"/>
          <w:b/>
          <w:bCs/>
          <w:color w:val="0E2841" w:themeColor="text2"/>
          <w:sz w:val="24"/>
          <w:szCs w:val="24"/>
        </w:rPr>
        <w:t>Equality Hubs can provide an important mechanism for communities to raise issues and concerns</w:t>
      </w:r>
      <w:r w:rsidRPr="0066370C">
        <w:rPr>
          <w:rFonts w:ascii="Arial" w:hAnsi="Arial" w:cs="Arial"/>
          <w:color w:val="0E2841" w:themeColor="text2"/>
          <w:sz w:val="24"/>
          <w:szCs w:val="24"/>
        </w:rPr>
        <w:t xml:space="preserve">, generating "community intelligence" that can inform future council strategies, consultations and service improvements. </w:t>
      </w:r>
    </w:p>
    <w:p w14:paraId="13889CAC" w14:textId="77777777" w:rsidR="0066370C" w:rsidRDefault="0066370C" w:rsidP="00FE6503">
      <w:pPr>
        <w:spacing w:after="0"/>
        <w:rPr>
          <w:rFonts w:ascii="Arial" w:hAnsi="Arial" w:cs="Arial"/>
          <w:color w:val="0E2841" w:themeColor="text2"/>
          <w:sz w:val="24"/>
          <w:szCs w:val="24"/>
        </w:rPr>
      </w:pPr>
    </w:p>
    <w:p w14:paraId="2DC3200E" w14:textId="77777777" w:rsidR="002135C4" w:rsidRDefault="002135C4" w:rsidP="002135C4">
      <w:pPr>
        <w:spacing w:after="0"/>
        <w:jc w:val="center"/>
        <w:rPr>
          <w:rFonts w:ascii="Arial" w:hAnsi="Arial" w:cs="Arial"/>
          <w:color w:val="0E2841" w:themeColor="text2"/>
          <w:sz w:val="24"/>
          <w:szCs w:val="24"/>
        </w:rPr>
      </w:pPr>
    </w:p>
    <w:p w14:paraId="2295D959" w14:textId="78DDDF5F" w:rsidR="002135C4" w:rsidRPr="002135C4" w:rsidRDefault="002135C4" w:rsidP="00FE6503">
      <w:pPr>
        <w:rPr>
          <w:sz w:val="24"/>
          <w:szCs w:val="24"/>
        </w:rPr>
      </w:pPr>
    </w:p>
    <w:p w14:paraId="110F4595" w14:textId="77777777" w:rsidR="002135C4" w:rsidRDefault="002135C4"/>
    <w:sectPr w:rsidR="002135C4" w:rsidSect="002135C4">
      <w:footerReference w:type="default" r:id="rId9"/>
      <w:pgSz w:w="12240" w:h="15840"/>
      <w:pgMar w:top="720" w:right="720" w:bottom="720" w:left="720" w:header="720" w:footer="720" w:gutter="0"/>
      <w:pgBorders w:offsetFrom="page">
        <w:top w:val="single" w:sz="36" w:space="24" w:color="7030A0"/>
        <w:left w:val="single" w:sz="36" w:space="24" w:color="7030A0"/>
        <w:bottom w:val="single" w:sz="36" w:space="24" w:color="7030A0"/>
        <w:right w:val="single" w:sz="36" w:space="24" w:color="7030A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1CD7B" w14:textId="77777777" w:rsidR="00AE2F4E" w:rsidRDefault="00AE2F4E">
      <w:pPr>
        <w:spacing w:after="0" w:line="240" w:lineRule="auto"/>
      </w:pPr>
      <w:r>
        <w:separator/>
      </w:r>
    </w:p>
  </w:endnote>
  <w:endnote w:type="continuationSeparator" w:id="0">
    <w:p w14:paraId="7B40ECCB" w14:textId="77777777" w:rsidR="00AE2F4E" w:rsidRDefault="00AE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10AC" w14:textId="77777777" w:rsidR="002135C4" w:rsidRDefault="002135C4">
    <w:pPr>
      <w:pStyle w:val="Footer"/>
    </w:pPr>
    <w:r>
      <w:t xml:space="preserve">Page </w:t>
    </w:r>
    <w:r>
      <w:fldChar w:fldCharType="begin"/>
    </w:r>
    <w:r>
      <w:instrText xml:space="preserve"> PAGE   \* MERGEFORMAT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CE59" w14:textId="77777777" w:rsidR="00AE2F4E" w:rsidRDefault="00AE2F4E">
      <w:pPr>
        <w:spacing w:after="0" w:line="240" w:lineRule="auto"/>
      </w:pPr>
      <w:r>
        <w:separator/>
      </w:r>
    </w:p>
  </w:footnote>
  <w:footnote w:type="continuationSeparator" w:id="0">
    <w:p w14:paraId="6FDBE148" w14:textId="77777777" w:rsidR="00AE2F4E" w:rsidRDefault="00AE2F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B1FE9"/>
    <w:multiLevelType w:val="hybridMultilevel"/>
    <w:tmpl w:val="B99888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5453E1"/>
    <w:multiLevelType w:val="hybridMultilevel"/>
    <w:tmpl w:val="6EAC1C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992161"/>
    <w:multiLevelType w:val="multilevel"/>
    <w:tmpl w:val="79ECB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73603"/>
    <w:multiLevelType w:val="hybridMultilevel"/>
    <w:tmpl w:val="861C76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A300B9"/>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E412A"/>
    <w:multiLevelType w:val="hybridMultilevel"/>
    <w:tmpl w:val="6478ED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A33393E"/>
    <w:multiLevelType w:val="hybridMultilevel"/>
    <w:tmpl w:val="991896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BB610E"/>
    <w:multiLevelType w:val="multilevel"/>
    <w:tmpl w:val="50A4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1814CE"/>
    <w:multiLevelType w:val="hybridMultilevel"/>
    <w:tmpl w:val="945656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66B1DE6"/>
    <w:multiLevelType w:val="multilevel"/>
    <w:tmpl w:val="4EE0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A7CBD"/>
    <w:multiLevelType w:val="multilevel"/>
    <w:tmpl w:val="5F62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091977"/>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265DA"/>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430454"/>
    <w:multiLevelType w:val="multilevel"/>
    <w:tmpl w:val="78225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D961D2"/>
    <w:multiLevelType w:val="hybridMultilevel"/>
    <w:tmpl w:val="FE744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9261EC"/>
    <w:multiLevelType w:val="hybridMultilevel"/>
    <w:tmpl w:val="C1DE09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4EC4E22"/>
    <w:multiLevelType w:val="multilevel"/>
    <w:tmpl w:val="F26E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9197E"/>
    <w:multiLevelType w:val="multilevel"/>
    <w:tmpl w:val="3636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719895">
    <w:abstractNumId w:val="5"/>
  </w:num>
  <w:num w:numId="2" w16cid:durableId="423653162">
    <w:abstractNumId w:val="13"/>
  </w:num>
  <w:num w:numId="3" w16cid:durableId="2116554889">
    <w:abstractNumId w:val="4"/>
  </w:num>
  <w:num w:numId="4" w16cid:durableId="1276642696">
    <w:abstractNumId w:val="14"/>
  </w:num>
  <w:num w:numId="5" w16cid:durableId="720979420">
    <w:abstractNumId w:val="8"/>
  </w:num>
  <w:num w:numId="6" w16cid:durableId="1284653419">
    <w:abstractNumId w:val="15"/>
  </w:num>
  <w:num w:numId="7" w16cid:durableId="2002809648">
    <w:abstractNumId w:val="2"/>
  </w:num>
  <w:num w:numId="8" w16cid:durableId="2107460555">
    <w:abstractNumId w:val="12"/>
  </w:num>
  <w:num w:numId="9" w16cid:durableId="1629042960">
    <w:abstractNumId w:val="11"/>
  </w:num>
  <w:num w:numId="10" w16cid:durableId="975598544">
    <w:abstractNumId w:val="16"/>
  </w:num>
  <w:num w:numId="11" w16cid:durableId="1674719406">
    <w:abstractNumId w:val="6"/>
  </w:num>
  <w:num w:numId="12" w16cid:durableId="1703550598">
    <w:abstractNumId w:val="3"/>
  </w:num>
  <w:num w:numId="13" w16cid:durableId="868953672">
    <w:abstractNumId w:val="0"/>
  </w:num>
  <w:num w:numId="14" w16cid:durableId="519202146">
    <w:abstractNumId w:val="1"/>
  </w:num>
  <w:num w:numId="15" w16cid:durableId="1299990758">
    <w:abstractNumId w:val="9"/>
  </w:num>
  <w:num w:numId="16" w16cid:durableId="839809028">
    <w:abstractNumId w:val="10"/>
  </w:num>
  <w:num w:numId="17" w16cid:durableId="1164738156">
    <w:abstractNumId w:val="17"/>
  </w:num>
  <w:num w:numId="18" w16cid:durableId="16095114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C4"/>
    <w:rsid w:val="002135C4"/>
    <w:rsid w:val="004A65C2"/>
    <w:rsid w:val="0066370C"/>
    <w:rsid w:val="00823ABD"/>
    <w:rsid w:val="009A44F3"/>
    <w:rsid w:val="00AE2F4E"/>
    <w:rsid w:val="00EA31A8"/>
    <w:rsid w:val="00FE6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CEA3E"/>
  <w15:chartTrackingRefBased/>
  <w15:docId w15:val="{8E7AF32A-5AE9-4259-B272-D1CEE5DF4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5C4"/>
    <w:pPr>
      <w:spacing w:line="259" w:lineRule="auto"/>
    </w:pPr>
    <w:rPr>
      <w:kern w:val="0"/>
      <w:sz w:val="22"/>
      <w:szCs w:val="22"/>
      <w14:ligatures w14:val="none"/>
    </w:rPr>
  </w:style>
  <w:style w:type="paragraph" w:styleId="Heading1">
    <w:name w:val="heading 1"/>
    <w:basedOn w:val="Normal"/>
    <w:next w:val="Normal"/>
    <w:link w:val="Heading1Char"/>
    <w:uiPriority w:val="9"/>
    <w:qFormat/>
    <w:rsid w:val="00213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5C4"/>
    <w:rPr>
      <w:rFonts w:eastAsiaTheme="majorEastAsia" w:cstheme="majorBidi"/>
      <w:color w:val="272727" w:themeColor="text1" w:themeTint="D8"/>
    </w:rPr>
  </w:style>
  <w:style w:type="paragraph" w:styleId="Title">
    <w:name w:val="Title"/>
    <w:basedOn w:val="Normal"/>
    <w:next w:val="Normal"/>
    <w:link w:val="TitleChar"/>
    <w:uiPriority w:val="10"/>
    <w:qFormat/>
    <w:rsid w:val="00213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5C4"/>
    <w:pPr>
      <w:spacing w:before="160"/>
      <w:jc w:val="center"/>
    </w:pPr>
    <w:rPr>
      <w:i/>
      <w:iCs/>
      <w:color w:val="404040" w:themeColor="text1" w:themeTint="BF"/>
    </w:rPr>
  </w:style>
  <w:style w:type="character" w:customStyle="1" w:styleId="QuoteChar">
    <w:name w:val="Quote Char"/>
    <w:basedOn w:val="DefaultParagraphFont"/>
    <w:link w:val="Quote"/>
    <w:uiPriority w:val="29"/>
    <w:rsid w:val="002135C4"/>
    <w:rPr>
      <w:i/>
      <w:iCs/>
      <w:color w:val="404040" w:themeColor="text1" w:themeTint="BF"/>
    </w:rPr>
  </w:style>
  <w:style w:type="paragraph" w:styleId="ListParagraph">
    <w:name w:val="List Paragraph"/>
    <w:basedOn w:val="Normal"/>
    <w:uiPriority w:val="34"/>
    <w:qFormat/>
    <w:rsid w:val="002135C4"/>
    <w:pPr>
      <w:ind w:left="720"/>
      <w:contextualSpacing/>
    </w:pPr>
  </w:style>
  <w:style w:type="character" w:styleId="IntenseEmphasis">
    <w:name w:val="Intense Emphasis"/>
    <w:basedOn w:val="DefaultParagraphFont"/>
    <w:uiPriority w:val="21"/>
    <w:qFormat/>
    <w:rsid w:val="002135C4"/>
    <w:rPr>
      <w:i/>
      <w:iCs/>
      <w:color w:val="0F4761" w:themeColor="accent1" w:themeShade="BF"/>
    </w:rPr>
  </w:style>
  <w:style w:type="paragraph" w:styleId="IntenseQuote">
    <w:name w:val="Intense Quote"/>
    <w:basedOn w:val="Normal"/>
    <w:next w:val="Normal"/>
    <w:link w:val="IntenseQuoteChar"/>
    <w:uiPriority w:val="30"/>
    <w:qFormat/>
    <w:rsid w:val="00213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5C4"/>
    <w:rPr>
      <w:i/>
      <w:iCs/>
      <w:color w:val="0F4761" w:themeColor="accent1" w:themeShade="BF"/>
    </w:rPr>
  </w:style>
  <w:style w:type="character" w:styleId="IntenseReference">
    <w:name w:val="Intense Reference"/>
    <w:basedOn w:val="DefaultParagraphFont"/>
    <w:uiPriority w:val="32"/>
    <w:qFormat/>
    <w:rsid w:val="002135C4"/>
    <w:rPr>
      <w:b/>
      <w:bCs/>
      <w:smallCaps/>
      <w:color w:val="0F4761" w:themeColor="accent1" w:themeShade="BF"/>
      <w:spacing w:val="5"/>
    </w:rPr>
  </w:style>
  <w:style w:type="paragraph" w:styleId="Footer">
    <w:name w:val="footer"/>
    <w:basedOn w:val="Normal"/>
    <w:link w:val="FooterChar"/>
    <w:uiPriority w:val="99"/>
    <w:semiHidden/>
    <w:unhideWhenUsed/>
    <w:rsid w:val="002135C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135C4"/>
    <w:rPr>
      <w:kern w:val="0"/>
      <w:sz w:val="22"/>
      <w:szCs w:val="22"/>
      <w14:ligatures w14:val="none"/>
    </w:rPr>
  </w:style>
  <w:style w:type="character" w:styleId="Hyperlink">
    <w:name w:val="Hyperlink"/>
    <w:basedOn w:val="DefaultParagraphFont"/>
    <w:uiPriority w:val="99"/>
    <w:unhideWhenUsed/>
    <w:rsid w:val="002135C4"/>
    <w:rPr>
      <w:color w:val="467886" w:themeColor="hyperlink"/>
      <w:u w:val="single"/>
    </w:rPr>
  </w:style>
  <w:style w:type="character" w:styleId="UnresolvedMention">
    <w:name w:val="Unresolved Mention"/>
    <w:basedOn w:val="DefaultParagraphFont"/>
    <w:uiPriority w:val="99"/>
    <w:semiHidden/>
    <w:unhideWhenUsed/>
    <w:rsid w:val="00213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Hadgraft</dc:creator>
  <cp:keywords/>
  <dc:description/>
  <cp:lastModifiedBy>Andrew Welsby</cp:lastModifiedBy>
  <cp:revision>3</cp:revision>
  <dcterms:created xsi:type="dcterms:W3CDTF">2026-09-29T09:33:00Z</dcterms:created>
  <dcterms:modified xsi:type="dcterms:W3CDTF">2026-09-29T10:05:00Z</dcterms:modified>
</cp:coreProperties>
</file>